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5ABA6" w14:textId="4B8F0285" w:rsidR="0079437F" w:rsidRPr="00A450FF" w:rsidRDefault="00070BBB" w:rsidP="00A450FF">
      <w:pPr>
        <w:jc w:val="center"/>
        <w:rPr>
          <w:rFonts w:cstheme="majorHAnsi"/>
          <w:b/>
          <w:bCs/>
        </w:rPr>
      </w:pPr>
      <w:r w:rsidRPr="00A450FF">
        <w:rPr>
          <w:rFonts w:cstheme="majorHAnsi"/>
          <w:b/>
          <w:bCs/>
        </w:rPr>
        <w:t>DOCUMENTO TÉCNICO DE SOPORTE DE FORMULACIÓN</w:t>
      </w:r>
    </w:p>
    <w:p w14:paraId="63E6D61F" w14:textId="29B14FC2" w:rsidR="00070BBB" w:rsidRPr="00070BBB" w:rsidRDefault="00070BBB">
      <w:pPr>
        <w:rPr>
          <w:rFonts w:cstheme="majorHAnsi"/>
        </w:rPr>
      </w:pPr>
    </w:p>
    <w:p w14:paraId="3B38C339" w14:textId="15028EC5" w:rsidR="00070BBB" w:rsidRPr="00A450FF" w:rsidRDefault="00070BBB">
      <w:pPr>
        <w:rPr>
          <w:rFonts w:cstheme="majorHAnsi"/>
          <w:b/>
          <w:bCs/>
        </w:rPr>
      </w:pPr>
      <w:r w:rsidRPr="00A450FF">
        <w:rPr>
          <w:rFonts w:cstheme="majorHAnsi"/>
          <w:b/>
          <w:bCs/>
        </w:rPr>
        <w:t>2.6.</w:t>
      </w:r>
      <w:r w:rsidRPr="00A450FF">
        <w:rPr>
          <w:rFonts w:cstheme="majorHAnsi"/>
          <w:b/>
          <w:bCs/>
        </w:rPr>
        <w:tab/>
        <w:t>SERVICIOS PÚBLICOS</w:t>
      </w:r>
    </w:p>
    <w:p w14:paraId="3296D3A3" w14:textId="466DEE70" w:rsidR="00070BBB" w:rsidRPr="00070BBB" w:rsidRDefault="00070BBB" w:rsidP="00070BBB">
      <w:pPr>
        <w:pStyle w:val="Ttulo3"/>
        <w:numPr>
          <w:ilvl w:val="2"/>
          <w:numId w:val="41"/>
        </w:numPr>
        <w:rPr>
          <w:rFonts w:asciiTheme="majorHAnsi" w:hAnsiTheme="majorHAnsi" w:cstheme="majorHAnsi"/>
          <w:shd w:val="clear" w:color="auto" w:fill="FFFFFF"/>
          <w:lang w:val="es-ES_tradnl"/>
        </w:rPr>
      </w:pPr>
      <w:bookmarkStart w:id="0" w:name="_Toc60148577"/>
      <w:r w:rsidRPr="00070BBB">
        <w:rPr>
          <w:rFonts w:asciiTheme="majorHAnsi" w:eastAsia="Times New Roman" w:hAnsiTheme="majorHAnsi" w:cstheme="majorHAnsi"/>
          <w:bCs/>
          <w:lang w:val="es-ES_tradnl"/>
        </w:rPr>
        <w:t>Aseo</w:t>
      </w:r>
      <w:bookmarkEnd w:id="0"/>
    </w:p>
    <w:p w14:paraId="7F1A0378" w14:textId="6333FCE3" w:rsidR="00070BBB" w:rsidRPr="00070BBB" w:rsidRDefault="00A450FF" w:rsidP="00070BBB">
      <w:pPr>
        <w:pStyle w:val="NormalWeb"/>
        <w:spacing w:line="276" w:lineRule="auto"/>
        <w:jc w:val="both"/>
        <w:rPr>
          <w:rFonts w:asciiTheme="majorHAnsi" w:hAnsiTheme="majorHAnsi" w:cstheme="majorHAnsi"/>
          <w:color w:val="000000" w:themeColor="text1"/>
          <w:shd w:val="clear" w:color="auto" w:fill="FFFFFF"/>
          <w:lang w:val="es-ES_tradnl"/>
        </w:rPr>
      </w:pPr>
      <w:r>
        <w:rPr>
          <w:rFonts w:asciiTheme="majorHAnsi" w:hAnsiTheme="majorHAnsi" w:cstheme="majorHAnsi"/>
          <w:color w:val="000000" w:themeColor="text1"/>
          <w:shd w:val="clear" w:color="auto" w:fill="FFFFFF"/>
          <w:lang w:val="es-ES_tradnl"/>
        </w:rPr>
        <w:t xml:space="preserve">… </w:t>
      </w:r>
      <w:r w:rsidR="00070BBB" w:rsidRPr="00070BBB">
        <w:rPr>
          <w:rFonts w:asciiTheme="majorHAnsi" w:hAnsiTheme="majorHAnsi" w:cstheme="majorHAnsi"/>
          <w:color w:val="000000" w:themeColor="text1"/>
          <w:shd w:val="clear" w:color="auto" w:fill="FFFFFF"/>
          <w:lang w:val="es-ES_tradnl"/>
        </w:rPr>
        <w:t>Las acciones estratégicas específicas para el fortalecimiento y consolidación del Subsistema de Aseo son:</w:t>
      </w:r>
    </w:p>
    <w:p w14:paraId="24041C2A" w14:textId="77777777" w:rsidR="00070BBB" w:rsidRPr="00070BBB" w:rsidRDefault="00070BBB" w:rsidP="00070BBB">
      <w:pPr>
        <w:pStyle w:val="NormalWeb"/>
        <w:spacing w:line="276" w:lineRule="auto"/>
        <w:jc w:val="both"/>
        <w:rPr>
          <w:rFonts w:asciiTheme="majorHAnsi" w:hAnsiTheme="majorHAnsi" w:cstheme="majorHAnsi"/>
          <w:color w:val="000000" w:themeColor="text1"/>
          <w:shd w:val="clear" w:color="auto" w:fill="FFFFFF"/>
          <w:lang w:val="es-ES_tradnl"/>
        </w:rPr>
      </w:pPr>
      <w:r w:rsidRPr="00070BBB">
        <w:rPr>
          <w:rFonts w:asciiTheme="majorHAnsi" w:hAnsiTheme="majorHAnsi" w:cstheme="majorHAnsi"/>
          <w:color w:val="000000" w:themeColor="text1"/>
          <w:shd w:val="clear" w:color="auto" w:fill="FFFFFF"/>
          <w:lang w:val="es-ES_tradnl"/>
        </w:rPr>
        <w:t>1.</w:t>
      </w:r>
      <w:r w:rsidRPr="00070BBB">
        <w:rPr>
          <w:rFonts w:asciiTheme="majorHAnsi" w:hAnsiTheme="majorHAnsi" w:cstheme="majorHAnsi"/>
          <w:color w:val="000000" w:themeColor="text1"/>
          <w:shd w:val="clear" w:color="auto" w:fill="FFFFFF"/>
          <w:lang w:val="es-ES_tradnl"/>
        </w:rPr>
        <w:tab/>
        <w:t>Actualizar e implementar el Plan de Gestión Integral de Residuos Sólidos –PGIRS- acorde a los lineamientos normativos vigentes, definiendo los roles y compromisos por parte del municipio.</w:t>
      </w:r>
    </w:p>
    <w:p w14:paraId="4CB93D9D" w14:textId="77777777" w:rsidR="00070BBB" w:rsidRPr="00070BBB" w:rsidRDefault="00070BBB" w:rsidP="00070BBB">
      <w:pPr>
        <w:pStyle w:val="NormalWeb"/>
        <w:spacing w:line="276" w:lineRule="auto"/>
        <w:jc w:val="both"/>
        <w:rPr>
          <w:rFonts w:asciiTheme="majorHAnsi" w:hAnsiTheme="majorHAnsi" w:cstheme="majorHAnsi"/>
          <w:color w:val="000000" w:themeColor="text1"/>
          <w:shd w:val="clear" w:color="auto" w:fill="FFFFFF"/>
          <w:lang w:val="es-ES_tradnl"/>
        </w:rPr>
      </w:pPr>
      <w:r w:rsidRPr="00070BBB">
        <w:rPr>
          <w:rFonts w:asciiTheme="majorHAnsi" w:hAnsiTheme="majorHAnsi" w:cstheme="majorHAnsi"/>
          <w:color w:val="000000" w:themeColor="text1"/>
          <w:shd w:val="clear" w:color="auto" w:fill="FFFFFF"/>
          <w:lang w:val="es-ES_tradnl"/>
        </w:rPr>
        <w:t>2.</w:t>
      </w:r>
      <w:r w:rsidRPr="00070BBB">
        <w:rPr>
          <w:rFonts w:asciiTheme="majorHAnsi" w:hAnsiTheme="majorHAnsi" w:cstheme="majorHAnsi"/>
          <w:color w:val="000000" w:themeColor="text1"/>
          <w:shd w:val="clear" w:color="auto" w:fill="FFFFFF"/>
          <w:lang w:val="es-ES_tradnl"/>
        </w:rPr>
        <w:tab/>
        <w:t>Implementar alternativas de gestión y manejo de residuos sólidos peligrosos en concordancia con las disposiciones del orden departamental y Nacional.</w:t>
      </w:r>
    </w:p>
    <w:p w14:paraId="797D9F60" w14:textId="77777777" w:rsidR="00070BBB" w:rsidRPr="00070BBB" w:rsidRDefault="00070BBB" w:rsidP="00070BBB">
      <w:pPr>
        <w:pStyle w:val="NormalWeb"/>
        <w:spacing w:line="276" w:lineRule="auto"/>
        <w:jc w:val="both"/>
        <w:rPr>
          <w:rFonts w:asciiTheme="majorHAnsi" w:hAnsiTheme="majorHAnsi" w:cstheme="majorHAnsi"/>
          <w:color w:val="000000" w:themeColor="text1"/>
          <w:shd w:val="clear" w:color="auto" w:fill="FFFFFF"/>
          <w:lang w:val="es-ES_tradnl"/>
        </w:rPr>
      </w:pPr>
      <w:r w:rsidRPr="00070BBB">
        <w:rPr>
          <w:rFonts w:asciiTheme="majorHAnsi" w:hAnsiTheme="majorHAnsi" w:cstheme="majorHAnsi"/>
          <w:color w:val="000000" w:themeColor="text1"/>
          <w:shd w:val="clear" w:color="auto" w:fill="FFFFFF"/>
          <w:lang w:val="es-ES_tradnl"/>
        </w:rPr>
        <w:t>3.</w:t>
      </w:r>
      <w:r w:rsidRPr="00070BBB">
        <w:rPr>
          <w:rFonts w:asciiTheme="majorHAnsi" w:hAnsiTheme="majorHAnsi" w:cstheme="majorHAnsi"/>
          <w:color w:val="000000" w:themeColor="text1"/>
          <w:shd w:val="clear" w:color="auto" w:fill="FFFFFF"/>
          <w:lang w:val="es-ES_tradnl"/>
        </w:rPr>
        <w:tab/>
        <w:t xml:space="preserve">Promover actividades de reciclaje de material orgánico mediante procesos de </w:t>
      </w:r>
      <w:proofErr w:type="spellStart"/>
      <w:r w:rsidRPr="00070BBB">
        <w:rPr>
          <w:rFonts w:asciiTheme="majorHAnsi" w:hAnsiTheme="majorHAnsi" w:cstheme="majorHAnsi"/>
          <w:color w:val="000000" w:themeColor="text1"/>
          <w:shd w:val="clear" w:color="auto" w:fill="FFFFFF"/>
          <w:lang w:val="es-ES_tradnl"/>
        </w:rPr>
        <w:t>biocompost</w:t>
      </w:r>
      <w:proofErr w:type="spellEnd"/>
      <w:r w:rsidRPr="00070BBB">
        <w:rPr>
          <w:rFonts w:asciiTheme="majorHAnsi" w:hAnsiTheme="majorHAnsi" w:cstheme="majorHAnsi"/>
          <w:color w:val="000000" w:themeColor="text1"/>
          <w:shd w:val="clear" w:color="auto" w:fill="FFFFFF"/>
          <w:lang w:val="es-ES_tradnl"/>
        </w:rPr>
        <w:t>; el tratamiento de material inorgánico mediante procesos de separación para su posterior comercialización; trituración del material de escombros para su reutilización en nuevas obras y la incineración de residuos peligrosos y no recuperables.</w:t>
      </w:r>
    </w:p>
    <w:p w14:paraId="1C6DDA6F" w14:textId="792A9ADE" w:rsidR="00070BBB" w:rsidRPr="00070BBB" w:rsidRDefault="00070BBB" w:rsidP="00070BBB">
      <w:pPr>
        <w:pStyle w:val="NormalWeb"/>
        <w:spacing w:line="276" w:lineRule="auto"/>
        <w:jc w:val="both"/>
        <w:rPr>
          <w:rFonts w:asciiTheme="majorHAnsi" w:hAnsiTheme="majorHAnsi" w:cstheme="majorHAnsi"/>
          <w:color w:val="000000" w:themeColor="text1"/>
          <w:shd w:val="clear" w:color="auto" w:fill="FFFFFF"/>
          <w:lang w:val="es-ES_tradnl"/>
        </w:rPr>
      </w:pPr>
      <w:r w:rsidRPr="00070BBB">
        <w:rPr>
          <w:rFonts w:asciiTheme="majorHAnsi" w:hAnsiTheme="majorHAnsi" w:cstheme="majorHAnsi"/>
          <w:color w:val="000000" w:themeColor="text1"/>
          <w:shd w:val="clear" w:color="auto" w:fill="FFFFFF"/>
          <w:lang w:val="es-ES_tradnl"/>
        </w:rPr>
        <w:t>…</w:t>
      </w:r>
    </w:p>
    <w:p w14:paraId="3D61906B" w14:textId="77777777" w:rsidR="00070BBB" w:rsidRPr="00070BBB" w:rsidRDefault="00070BBB" w:rsidP="00070BBB">
      <w:pPr>
        <w:spacing w:line="276" w:lineRule="auto"/>
        <w:ind w:left="1728"/>
        <w:rPr>
          <w:rFonts w:cstheme="majorHAnsi"/>
          <w:color w:val="000000" w:themeColor="text1"/>
          <w:shd w:val="clear" w:color="auto" w:fill="FFFFFF"/>
          <w:lang w:val="es-ES_tradnl"/>
        </w:rPr>
      </w:pPr>
      <w:r w:rsidRPr="00070BBB">
        <w:rPr>
          <w:rFonts w:cstheme="majorHAnsi"/>
          <w:i/>
          <w:iCs/>
          <w:color w:val="000000" w:themeColor="text1"/>
          <w:lang w:val="es-ES_tradnl"/>
        </w:rPr>
        <w:t>Manejo</w:t>
      </w:r>
      <w:r w:rsidRPr="00070BBB">
        <w:rPr>
          <w:rFonts w:cstheme="majorHAnsi"/>
          <w:color w:val="000000" w:themeColor="text1"/>
          <w:shd w:val="clear" w:color="auto" w:fill="FFFFFF"/>
          <w:lang w:val="es-ES_tradnl"/>
        </w:rPr>
        <w:t xml:space="preserve"> residuos sólidos </w:t>
      </w:r>
    </w:p>
    <w:p w14:paraId="62EE2645" w14:textId="77777777" w:rsidR="00070BBB" w:rsidRPr="00070BBB" w:rsidRDefault="00070BBB" w:rsidP="00070BBB">
      <w:pPr>
        <w:pStyle w:val="NormalWeb"/>
        <w:spacing w:line="276" w:lineRule="auto"/>
        <w:jc w:val="both"/>
        <w:rPr>
          <w:rFonts w:asciiTheme="majorHAnsi" w:hAnsiTheme="majorHAnsi" w:cstheme="majorHAnsi"/>
          <w:color w:val="000000" w:themeColor="text1"/>
          <w:shd w:val="clear" w:color="auto" w:fill="FFFFFF"/>
          <w:lang w:val="es-ES_tradnl"/>
        </w:rPr>
      </w:pPr>
      <w:r w:rsidRPr="00070BBB">
        <w:rPr>
          <w:rFonts w:asciiTheme="majorHAnsi" w:hAnsiTheme="majorHAnsi" w:cstheme="majorHAnsi"/>
          <w:color w:val="000000" w:themeColor="text1"/>
          <w:shd w:val="clear" w:color="auto" w:fill="FFFFFF"/>
          <w:lang w:val="es-ES_tradnl"/>
        </w:rPr>
        <w:t xml:space="preserve">En el plan de gestión integral de residuos sólidos PGIRS del año 2015, se calculó la producción per cápita de residuos sólidos por métodos indirectos, para un total de 0,452 kilogramos diarios por habitante. Sobre la base de la producción per cápita y las proyecciones de población DANE a 2015 el PGIRS calculó la producción total de residuos sólidos, en el suelo urbano son 1.983,8 kg/día (59,51 toneladas mensuales). En suelo rural se calculó una producción per cápita de 0,449 kilogramos diarios por habitante, sin </w:t>
      </w:r>
      <w:proofErr w:type="gramStart"/>
      <w:r w:rsidRPr="00070BBB">
        <w:rPr>
          <w:rFonts w:asciiTheme="majorHAnsi" w:hAnsiTheme="majorHAnsi" w:cstheme="majorHAnsi"/>
          <w:color w:val="000000" w:themeColor="text1"/>
          <w:shd w:val="clear" w:color="auto" w:fill="FFFFFF"/>
          <w:lang w:val="es-ES_tradnl"/>
        </w:rPr>
        <w:t>embargo</w:t>
      </w:r>
      <w:proofErr w:type="gramEnd"/>
      <w:r w:rsidRPr="00070BBB">
        <w:rPr>
          <w:rFonts w:asciiTheme="majorHAnsi" w:hAnsiTheme="majorHAnsi" w:cstheme="majorHAnsi"/>
          <w:color w:val="000000" w:themeColor="text1"/>
          <w:shd w:val="clear" w:color="auto" w:fill="FFFFFF"/>
          <w:lang w:val="es-ES_tradnl"/>
        </w:rPr>
        <w:t xml:space="preserve"> no se puede calcular una estimación de producción de residuos sólidos debido a la poca cobertura del servicio de aseo en el suelo rural.</w:t>
      </w:r>
    </w:p>
    <w:p w14:paraId="653F1741" w14:textId="77777777" w:rsidR="00070BBB" w:rsidRPr="00070BBB" w:rsidRDefault="00070BBB" w:rsidP="00070BBB">
      <w:pPr>
        <w:pStyle w:val="NormalWeb"/>
        <w:spacing w:line="276" w:lineRule="auto"/>
        <w:jc w:val="both"/>
        <w:rPr>
          <w:rFonts w:asciiTheme="majorHAnsi" w:hAnsiTheme="majorHAnsi" w:cstheme="majorHAnsi"/>
          <w:color w:val="000000" w:themeColor="text1"/>
          <w:shd w:val="clear" w:color="auto" w:fill="FFFFFF"/>
          <w:lang w:val="es-ES_tradnl"/>
        </w:rPr>
      </w:pPr>
      <w:r w:rsidRPr="00070BBB">
        <w:rPr>
          <w:rFonts w:asciiTheme="majorHAnsi" w:hAnsiTheme="majorHAnsi" w:cstheme="majorHAnsi"/>
          <w:color w:val="000000" w:themeColor="text1"/>
          <w:shd w:val="clear" w:color="auto" w:fill="FFFFFF"/>
          <w:lang w:val="es-ES_tradnl"/>
        </w:rPr>
        <w:t xml:space="preserve">El Municipio en cabeza de la oficina de servicios públicos deberá generar el programa de reciclaje para el suelo rural, en donde se deberá incluir capacitación y adopción de este sistema, así como generar el programa para la recolección de estos residuos, así mismo se deberá plantear y priorizar la construcción de Estaciones de Clasificación y Aprovechamiento (ECAS), para apoyar el proceso de reciclaje del Municipio. </w:t>
      </w:r>
    </w:p>
    <w:p w14:paraId="406C11EC" w14:textId="77777777" w:rsidR="00070BBB" w:rsidRPr="00070BBB" w:rsidRDefault="00070BBB" w:rsidP="00070BBB">
      <w:pPr>
        <w:spacing w:line="276" w:lineRule="auto"/>
        <w:ind w:left="1728"/>
        <w:rPr>
          <w:rFonts w:cstheme="majorHAnsi"/>
          <w:color w:val="000000" w:themeColor="text1"/>
          <w:shd w:val="clear" w:color="auto" w:fill="FFFFFF"/>
          <w:lang w:val="es-ES_tradnl"/>
        </w:rPr>
      </w:pPr>
      <w:r w:rsidRPr="00070BBB">
        <w:rPr>
          <w:rFonts w:cstheme="majorHAnsi"/>
          <w:color w:val="000000" w:themeColor="text1"/>
          <w:shd w:val="clear" w:color="auto" w:fill="FFFFFF"/>
          <w:lang w:val="es-ES_tradnl"/>
        </w:rPr>
        <w:lastRenderedPageBreak/>
        <w:t>Centro de acopio o ECA</w:t>
      </w:r>
    </w:p>
    <w:p w14:paraId="0CF86780" w14:textId="77777777" w:rsidR="00070BBB" w:rsidRPr="00070BBB" w:rsidRDefault="00070BBB" w:rsidP="00070BBB">
      <w:pPr>
        <w:pStyle w:val="NormalWeb"/>
        <w:shd w:val="clear" w:color="auto" w:fill="FFFFFF"/>
        <w:spacing w:line="276" w:lineRule="auto"/>
        <w:jc w:val="both"/>
        <w:rPr>
          <w:rFonts w:asciiTheme="majorHAnsi" w:hAnsiTheme="majorHAnsi" w:cstheme="majorHAnsi"/>
          <w:color w:val="000000" w:themeColor="text1"/>
          <w:shd w:val="clear" w:color="auto" w:fill="FFFFFF"/>
          <w:lang w:val="es-ES_tradnl"/>
        </w:rPr>
      </w:pPr>
      <w:r w:rsidRPr="00070BBB">
        <w:rPr>
          <w:rFonts w:asciiTheme="majorHAnsi" w:hAnsiTheme="majorHAnsi" w:cstheme="majorHAnsi"/>
          <w:color w:val="000000" w:themeColor="text1"/>
          <w:shd w:val="clear" w:color="auto" w:fill="FFFFFF"/>
          <w:lang w:val="es-ES_tradnl"/>
        </w:rPr>
        <w:t xml:space="preserve">Son las instalaciones de almacenamiento transitorio de residuos, generalmente ubicadas en las instalaciones del generador, en los que una vez realizada la separación de la fuente se almacenan, seleccionan y/o acondicionan para facilitar su aprovechamiento, tratamiento o recolección selectiva, estas instalaciones se clasifican como dotacionales y deberán cumplir con los requisitos mínimos que se tiene en la tabla de equipamientos. Los </w:t>
      </w:r>
      <w:r w:rsidRPr="00070BBB">
        <w:rPr>
          <w:rFonts w:asciiTheme="majorHAnsi" w:hAnsiTheme="majorHAnsi" w:cstheme="majorHAnsi"/>
          <w:i/>
          <w:iCs/>
          <w:color w:val="000000" w:themeColor="text1"/>
          <w:lang w:val="es-ES_tradnl"/>
        </w:rPr>
        <w:t>Requisitos</w:t>
      </w:r>
      <w:r w:rsidRPr="00070BBB">
        <w:rPr>
          <w:rFonts w:asciiTheme="majorHAnsi" w:hAnsiTheme="majorHAnsi" w:cstheme="majorHAnsi"/>
          <w:color w:val="000000" w:themeColor="text1"/>
          <w:shd w:val="clear" w:color="auto" w:fill="FFFFFF"/>
          <w:lang w:val="es-ES_tradnl"/>
        </w:rPr>
        <w:t xml:space="preserve"> mínimos para las Estaciones de Clasificación y Aprovechamiento (ECA) son:</w:t>
      </w:r>
    </w:p>
    <w:p w14:paraId="30A74808"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1C832D08"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1. Contar con el uso del suelo compatible con la actividad.</w:t>
      </w:r>
    </w:p>
    <w:p w14:paraId="6F634260"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4DF65F1A"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2. Contar con una zona operativa y de almacenamiento de materiales cubierta y con cerramiento físico con el fin de prevenir o mitigar los impactos sobre el área de influencia.</w:t>
      </w:r>
    </w:p>
    <w:p w14:paraId="7FAB3698"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665A505D"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3. Contar con el respectivo diagrama de flujo del proceso incluidos la recepción, pesaje y registro.</w:t>
      </w:r>
    </w:p>
    <w:p w14:paraId="31C9F666"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2BFE6F23"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4. Contar con medidas de seguridad industrial.</w:t>
      </w:r>
    </w:p>
    <w:p w14:paraId="5AFA6183"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527BC996"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5. Contar con áreas para:</w:t>
      </w:r>
    </w:p>
    <w:p w14:paraId="71F16804"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55304A34"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Administración</w:t>
      </w:r>
    </w:p>
    <w:p w14:paraId="389B8455"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413089BE"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Recepción</w:t>
      </w:r>
    </w:p>
    <w:p w14:paraId="7E212831"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590FEEC3"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Pesaje</w:t>
      </w:r>
    </w:p>
    <w:p w14:paraId="53479E8F"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7D9AA71E"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Selección y clasificación</w:t>
      </w:r>
    </w:p>
    <w:p w14:paraId="310A1B91"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6BD05247"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Almacenamiento temporal de materiales aprovechables</w:t>
      </w:r>
    </w:p>
    <w:p w14:paraId="31F16E5F"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162400AA"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Almacenamiento temporal para materiales de rechazo incluidos aquellos de rápida biodegradación.</w:t>
      </w:r>
    </w:p>
    <w:p w14:paraId="7E3A3E8A"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1B7E2A99"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6. Contar con instrumentos de pesaje debidamente calibrados de acuerdo con lo dispuesto en el Decreto número 1074 de 2015 </w:t>
      </w:r>
      <w:r w:rsidRPr="00070BBB">
        <w:rPr>
          <w:rFonts w:cstheme="majorHAnsi"/>
          <w:i/>
          <w:iCs/>
          <w:color w:val="000000" w:themeColor="text1"/>
          <w:lang w:val="es-ES_tradnl" w:eastAsia="es-CO"/>
        </w:rPr>
        <w:t>“por medio del cual se expide el Decreto Único Reglamentario del Sector Comercio, Industria y Turismo”</w:t>
      </w:r>
      <w:r w:rsidRPr="00070BBB">
        <w:rPr>
          <w:rFonts w:cstheme="majorHAnsi"/>
          <w:color w:val="000000" w:themeColor="text1"/>
          <w:lang w:val="es-ES_tradnl" w:eastAsia="es-CO"/>
        </w:rPr>
        <w:t>.</w:t>
      </w:r>
    </w:p>
    <w:p w14:paraId="5234E9CD"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52FA3C7B"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lastRenderedPageBreak/>
        <w:t>7. Contar con un sistema de control de emisión de olores.</w:t>
      </w:r>
    </w:p>
    <w:p w14:paraId="64EF20CF"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44CA9524"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8. Contar con un sistema de prevención y control de incendios.</w:t>
      </w:r>
    </w:p>
    <w:p w14:paraId="2AC86E28"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6636B378"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9. Contar con sistemas de drenaje para las aguas lluvias y escorrentía subsuperficial.</w:t>
      </w:r>
    </w:p>
    <w:p w14:paraId="5B8FF29C"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3C5B39B7"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10. Contar con sistema de recolección y tratamiento de lixiviados cuando sea del caso.</w:t>
      </w:r>
    </w:p>
    <w:p w14:paraId="12C202AA"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37ECFDCA"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11. Contar con pisos rígidos y las paredes que permitan su aseo, desinfección periódica y mantenimiento mediante el lavado.</w:t>
      </w:r>
    </w:p>
    <w:p w14:paraId="19D0F38B"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 </w:t>
      </w:r>
    </w:p>
    <w:p w14:paraId="001BE814" w14:textId="77777777" w:rsidR="00070BBB" w:rsidRPr="00070BBB" w:rsidRDefault="00070BBB" w:rsidP="00070BBB">
      <w:pPr>
        <w:shd w:val="clear" w:color="auto" w:fill="FFFFFF"/>
        <w:spacing w:line="276" w:lineRule="auto"/>
        <w:rPr>
          <w:rFonts w:cstheme="majorHAnsi"/>
          <w:color w:val="000000" w:themeColor="text1"/>
          <w:lang w:val="es-ES_tradnl" w:eastAsia="es-CO"/>
        </w:rPr>
      </w:pPr>
      <w:r w:rsidRPr="00070BBB">
        <w:rPr>
          <w:rFonts w:cstheme="majorHAnsi"/>
          <w:color w:val="000000" w:themeColor="text1"/>
          <w:lang w:val="es-ES_tradnl" w:eastAsia="es-CO"/>
        </w:rPr>
        <w:t>12. Estar vinculado al servicio público de aseo como usuario, para efectos de la presentación y entrega de rechazos con destino a disposición final.</w:t>
      </w:r>
    </w:p>
    <w:p w14:paraId="49A2ECCE" w14:textId="77777777" w:rsidR="00070BBB" w:rsidRPr="00070BBB" w:rsidRDefault="00070BBB" w:rsidP="00070BBB">
      <w:pPr>
        <w:shd w:val="clear" w:color="auto" w:fill="FFFFFF"/>
        <w:spacing w:line="276" w:lineRule="auto"/>
        <w:rPr>
          <w:rFonts w:cstheme="majorHAnsi"/>
          <w:color w:val="000000" w:themeColor="text1"/>
          <w:lang w:val="es-ES_tradnl" w:eastAsia="es-CO"/>
        </w:rPr>
      </w:pPr>
    </w:p>
    <w:p w14:paraId="0A6374C1" w14:textId="77777777" w:rsidR="00070BBB" w:rsidRPr="00070BBB" w:rsidRDefault="00070BBB" w:rsidP="00070BBB">
      <w:pPr>
        <w:shd w:val="clear" w:color="auto" w:fill="FFFFFF"/>
        <w:spacing w:line="276" w:lineRule="auto"/>
        <w:rPr>
          <w:rFonts w:cstheme="majorHAnsi"/>
          <w:bCs/>
          <w:color w:val="000000" w:themeColor="text1"/>
        </w:rPr>
      </w:pPr>
      <w:r w:rsidRPr="00070BBB">
        <w:rPr>
          <w:rFonts w:cstheme="majorHAnsi"/>
          <w:color w:val="000000" w:themeColor="text1"/>
          <w:lang w:val="es-ES_tradnl" w:eastAsia="es-CO"/>
        </w:rPr>
        <w:t xml:space="preserve"> La ECA se localizará en el predio con cedula catastral </w:t>
      </w:r>
      <w:r w:rsidRPr="00070BBB">
        <w:rPr>
          <w:rFonts w:cstheme="majorHAnsi"/>
          <w:bCs/>
          <w:color w:val="000000" w:themeColor="text1"/>
        </w:rPr>
        <w:t>25878-00-01-0005-0137-000 con las coordenadas y en las siguientes coordenadas:</w:t>
      </w:r>
    </w:p>
    <w:p w14:paraId="2482D0C7" w14:textId="77777777" w:rsidR="00070BBB" w:rsidRPr="00070BBB" w:rsidRDefault="00070BBB" w:rsidP="00070BBB">
      <w:pPr>
        <w:shd w:val="clear" w:color="auto" w:fill="FFFFFF"/>
        <w:spacing w:line="276" w:lineRule="auto"/>
        <w:rPr>
          <w:rFonts w:cstheme="majorHAnsi"/>
          <w:bCs/>
          <w:color w:val="000000" w:themeColor="text1"/>
        </w:rPr>
      </w:pPr>
    </w:p>
    <w:p w14:paraId="499032C4" w14:textId="77777777" w:rsidR="00070BBB" w:rsidRPr="00070BBB" w:rsidRDefault="00070BBB" w:rsidP="00070BBB">
      <w:pPr>
        <w:spacing w:after="200"/>
        <w:rPr>
          <w:rFonts w:eastAsia="Calibri" w:cstheme="majorHAnsi"/>
          <w:i/>
          <w:color w:val="000000" w:themeColor="text1"/>
          <w:lang w:val="es-ES_tradnl"/>
        </w:rPr>
      </w:pPr>
      <w:r w:rsidRPr="00070BBB">
        <w:rPr>
          <w:rFonts w:eastAsia="Calibri" w:cstheme="majorHAnsi"/>
          <w:i/>
          <w:iCs/>
          <w:color w:val="000000" w:themeColor="text1"/>
          <w:lang w:val="es-ES_tradnl"/>
        </w:rPr>
        <w:t xml:space="preserve">Tabla </w:t>
      </w:r>
      <w:r w:rsidRPr="00070BBB">
        <w:rPr>
          <w:rFonts w:eastAsia="Calibri" w:cstheme="majorHAnsi"/>
          <w:i/>
          <w:iCs/>
          <w:color w:val="000000" w:themeColor="text1"/>
          <w:lang w:val="es-ES_tradnl"/>
        </w:rPr>
        <w:fldChar w:fldCharType="begin"/>
      </w:r>
      <w:r w:rsidRPr="00070BBB">
        <w:rPr>
          <w:rFonts w:eastAsia="Calibri" w:cstheme="majorHAnsi"/>
          <w:i/>
          <w:iCs/>
          <w:color w:val="000000" w:themeColor="text1"/>
          <w:lang w:val="es-ES_tradnl"/>
        </w:rPr>
        <w:instrText xml:space="preserve"> SEQ Tabla \* ARABIC </w:instrText>
      </w:r>
      <w:r w:rsidRPr="00070BBB">
        <w:rPr>
          <w:rFonts w:eastAsia="Calibri" w:cstheme="majorHAnsi"/>
          <w:i/>
          <w:iCs/>
          <w:color w:val="000000" w:themeColor="text1"/>
          <w:lang w:val="es-ES_tradnl"/>
        </w:rPr>
        <w:fldChar w:fldCharType="separate"/>
      </w:r>
      <w:r w:rsidRPr="00070BBB">
        <w:rPr>
          <w:rFonts w:eastAsia="Calibri" w:cstheme="majorHAnsi"/>
          <w:i/>
          <w:iCs/>
          <w:noProof/>
          <w:color w:val="000000" w:themeColor="text1"/>
          <w:lang w:val="es-ES_tradnl"/>
        </w:rPr>
        <w:t>52</w:t>
      </w:r>
      <w:r w:rsidRPr="00070BBB">
        <w:rPr>
          <w:rFonts w:eastAsia="Calibri" w:cstheme="majorHAnsi"/>
          <w:i/>
          <w:iCs/>
          <w:color w:val="000000" w:themeColor="text1"/>
          <w:lang w:val="es-ES_tradnl"/>
        </w:rPr>
        <w:fldChar w:fldCharType="end"/>
      </w:r>
      <w:r w:rsidRPr="00070BBB">
        <w:rPr>
          <w:rFonts w:eastAsia="Calibri" w:cstheme="majorHAnsi"/>
          <w:i/>
          <w:iCs/>
          <w:color w:val="000000" w:themeColor="text1"/>
          <w:lang w:val="es-ES_tradnl"/>
        </w:rPr>
        <w:t xml:space="preserve"> Localización de ECA </w:t>
      </w:r>
    </w:p>
    <w:tbl>
      <w:tblPr>
        <w:tblW w:w="6580" w:type="dxa"/>
        <w:jc w:val="center"/>
        <w:tblCellMar>
          <w:left w:w="70" w:type="dxa"/>
          <w:right w:w="70" w:type="dxa"/>
        </w:tblCellMar>
        <w:tblLook w:val="04A0" w:firstRow="1" w:lastRow="0" w:firstColumn="1" w:lastColumn="0" w:noHBand="0" w:noVBand="1"/>
      </w:tblPr>
      <w:tblGrid>
        <w:gridCol w:w="1536"/>
        <w:gridCol w:w="1646"/>
        <w:gridCol w:w="3398"/>
      </w:tblGrid>
      <w:tr w:rsidR="00070BBB" w:rsidRPr="00070BBB" w14:paraId="4375293D" w14:textId="77777777" w:rsidTr="00072099">
        <w:trPr>
          <w:trHeight w:val="900"/>
          <w:jc w:val="center"/>
        </w:trPr>
        <w:tc>
          <w:tcPr>
            <w:tcW w:w="658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3BF86631"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ESTACIÓN DE CLASIFICACIÓN Y APROVECHAMIENTO</w:t>
            </w:r>
          </w:p>
        </w:tc>
      </w:tr>
      <w:tr w:rsidR="00070BBB" w:rsidRPr="00070BBB" w14:paraId="0B39ED2E" w14:textId="77777777" w:rsidTr="00072099">
        <w:trPr>
          <w:trHeight w:val="684"/>
          <w:jc w:val="center"/>
        </w:trPr>
        <w:tc>
          <w:tcPr>
            <w:tcW w:w="1536" w:type="dxa"/>
            <w:vMerge w:val="restart"/>
            <w:tcBorders>
              <w:top w:val="nil"/>
              <w:left w:val="single" w:sz="4" w:space="0" w:color="auto"/>
              <w:bottom w:val="single" w:sz="4" w:space="0" w:color="auto"/>
              <w:right w:val="single" w:sz="4" w:space="0" w:color="auto"/>
            </w:tcBorders>
            <w:shd w:val="clear" w:color="000000" w:fill="B4C6E7"/>
            <w:vAlign w:val="center"/>
            <w:hideMark/>
          </w:tcPr>
          <w:p w14:paraId="00BBCEEC"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PUNTO</w:t>
            </w:r>
          </w:p>
        </w:tc>
        <w:tc>
          <w:tcPr>
            <w:tcW w:w="5044" w:type="dxa"/>
            <w:gridSpan w:val="2"/>
            <w:tcBorders>
              <w:top w:val="single" w:sz="4" w:space="0" w:color="auto"/>
              <w:left w:val="nil"/>
              <w:bottom w:val="single" w:sz="4" w:space="0" w:color="auto"/>
              <w:right w:val="single" w:sz="4" w:space="0" w:color="auto"/>
            </w:tcBorders>
            <w:shd w:val="clear" w:color="000000" w:fill="B4C6E7"/>
            <w:vAlign w:val="center"/>
            <w:hideMark/>
          </w:tcPr>
          <w:p w14:paraId="3FFDEB55"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SISTEMA DE COORDENADAS MAGNA SIRGAS ORIGEN NACIONAL CTM12</w:t>
            </w:r>
          </w:p>
        </w:tc>
      </w:tr>
      <w:tr w:rsidR="00070BBB" w:rsidRPr="00070BBB" w14:paraId="747EF8DF" w14:textId="77777777" w:rsidTr="00072099">
        <w:trPr>
          <w:trHeight w:val="288"/>
          <w:jc w:val="center"/>
        </w:trPr>
        <w:tc>
          <w:tcPr>
            <w:tcW w:w="1536" w:type="dxa"/>
            <w:vMerge/>
            <w:tcBorders>
              <w:top w:val="nil"/>
              <w:left w:val="single" w:sz="4" w:space="0" w:color="auto"/>
              <w:bottom w:val="single" w:sz="4" w:space="0" w:color="auto"/>
              <w:right w:val="single" w:sz="4" w:space="0" w:color="auto"/>
            </w:tcBorders>
            <w:vAlign w:val="center"/>
            <w:hideMark/>
          </w:tcPr>
          <w:p w14:paraId="484CBFB9" w14:textId="77777777" w:rsidR="00070BBB" w:rsidRPr="00070BBB" w:rsidRDefault="00070BBB" w:rsidP="00072099">
            <w:pPr>
              <w:rPr>
                <w:rFonts w:cstheme="majorHAnsi"/>
                <w:b/>
                <w:bCs/>
                <w:color w:val="000000"/>
                <w:lang w:val="es-ES" w:eastAsia="es-ES"/>
              </w:rPr>
            </w:pPr>
          </w:p>
        </w:tc>
        <w:tc>
          <w:tcPr>
            <w:tcW w:w="1646" w:type="dxa"/>
            <w:tcBorders>
              <w:top w:val="nil"/>
              <w:left w:val="nil"/>
              <w:bottom w:val="single" w:sz="4" w:space="0" w:color="auto"/>
              <w:right w:val="single" w:sz="4" w:space="0" w:color="auto"/>
            </w:tcBorders>
            <w:shd w:val="clear" w:color="000000" w:fill="B4C6E7"/>
            <w:noWrap/>
            <w:vAlign w:val="center"/>
            <w:hideMark/>
          </w:tcPr>
          <w:p w14:paraId="4363F705"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ESTE</w:t>
            </w:r>
          </w:p>
        </w:tc>
        <w:tc>
          <w:tcPr>
            <w:tcW w:w="3398" w:type="dxa"/>
            <w:tcBorders>
              <w:top w:val="nil"/>
              <w:left w:val="nil"/>
              <w:bottom w:val="single" w:sz="4" w:space="0" w:color="auto"/>
              <w:right w:val="single" w:sz="4" w:space="0" w:color="auto"/>
            </w:tcBorders>
            <w:shd w:val="clear" w:color="000000" w:fill="B4C6E7"/>
            <w:noWrap/>
            <w:vAlign w:val="center"/>
            <w:hideMark/>
          </w:tcPr>
          <w:p w14:paraId="6D085A59"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NORTE</w:t>
            </w:r>
          </w:p>
        </w:tc>
      </w:tr>
      <w:tr w:rsidR="00070BBB" w:rsidRPr="00070BBB" w14:paraId="11A89BBA"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461E7C9F"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1</w:t>
            </w:r>
          </w:p>
        </w:tc>
        <w:tc>
          <w:tcPr>
            <w:tcW w:w="1646" w:type="dxa"/>
            <w:tcBorders>
              <w:top w:val="nil"/>
              <w:left w:val="nil"/>
              <w:bottom w:val="single" w:sz="4" w:space="0" w:color="auto"/>
              <w:right w:val="single" w:sz="4" w:space="0" w:color="auto"/>
            </w:tcBorders>
            <w:shd w:val="clear" w:color="auto" w:fill="auto"/>
            <w:noWrap/>
            <w:vAlign w:val="center"/>
            <w:hideMark/>
          </w:tcPr>
          <w:p w14:paraId="1A9FB21C"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4830595,47</w:t>
            </w:r>
          </w:p>
        </w:tc>
        <w:tc>
          <w:tcPr>
            <w:tcW w:w="3398" w:type="dxa"/>
            <w:tcBorders>
              <w:top w:val="nil"/>
              <w:left w:val="nil"/>
              <w:bottom w:val="single" w:sz="4" w:space="0" w:color="auto"/>
              <w:right w:val="single" w:sz="4" w:space="0" w:color="auto"/>
            </w:tcBorders>
            <w:shd w:val="clear" w:color="auto" w:fill="auto"/>
            <w:noWrap/>
            <w:vAlign w:val="center"/>
            <w:hideMark/>
          </w:tcPr>
          <w:p w14:paraId="7B80A78C"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2049743,14</w:t>
            </w:r>
          </w:p>
        </w:tc>
      </w:tr>
      <w:tr w:rsidR="00070BBB" w:rsidRPr="00070BBB" w14:paraId="206C891E"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C6AD769"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2</w:t>
            </w:r>
          </w:p>
        </w:tc>
        <w:tc>
          <w:tcPr>
            <w:tcW w:w="1646" w:type="dxa"/>
            <w:tcBorders>
              <w:top w:val="nil"/>
              <w:left w:val="nil"/>
              <w:bottom w:val="single" w:sz="4" w:space="0" w:color="auto"/>
              <w:right w:val="single" w:sz="4" w:space="0" w:color="auto"/>
            </w:tcBorders>
            <w:shd w:val="clear" w:color="auto" w:fill="auto"/>
            <w:noWrap/>
            <w:vAlign w:val="center"/>
            <w:hideMark/>
          </w:tcPr>
          <w:p w14:paraId="79D68A64"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4830420,26</w:t>
            </w:r>
          </w:p>
        </w:tc>
        <w:tc>
          <w:tcPr>
            <w:tcW w:w="3398" w:type="dxa"/>
            <w:tcBorders>
              <w:top w:val="nil"/>
              <w:left w:val="nil"/>
              <w:bottom w:val="single" w:sz="4" w:space="0" w:color="auto"/>
              <w:right w:val="single" w:sz="4" w:space="0" w:color="auto"/>
            </w:tcBorders>
            <w:shd w:val="clear" w:color="auto" w:fill="auto"/>
            <w:noWrap/>
            <w:vAlign w:val="center"/>
            <w:hideMark/>
          </w:tcPr>
          <w:p w14:paraId="368827D3"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2049608,28</w:t>
            </w:r>
          </w:p>
        </w:tc>
      </w:tr>
      <w:tr w:rsidR="00070BBB" w:rsidRPr="00070BBB" w14:paraId="3068388D"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7ED517F7"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3</w:t>
            </w:r>
          </w:p>
        </w:tc>
        <w:tc>
          <w:tcPr>
            <w:tcW w:w="1646" w:type="dxa"/>
            <w:tcBorders>
              <w:top w:val="nil"/>
              <w:left w:val="nil"/>
              <w:bottom w:val="single" w:sz="4" w:space="0" w:color="auto"/>
              <w:right w:val="single" w:sz="4" w:space="0" w:color="auto"/>
            </w:tcBorders>
            <w:shd w:val="clear" w:color="auto" w:fill="auto"/>
            <w:noWrap/>
            <w:vAlign w:val="center"/>
            <w:hideMark/>
          </w:tcPr>
          <w:p w14:paraId="5005574A"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4830401,77</w:t>
            </w:r>
          </w:p>
        </w:tc>
        <w:tc>
          <w:tcPr>
            <w:tcW w:w="3398" w:type="dxa"/>
            <w:tcBorders>
              <w:top w:val="nil"/>
              <w:left w:val="nil"/>
              <w:bottom w:val="single" w:sz="4" w:space="0" w:color="auto"/>
              <w:right w:val="single" w:sz="4" w:space="0" w:color="auto"/>
            </w:tcBorders>
            <w:shd w:val="clear" w:color="auto" w:fill="auto"/>
            <w:noWrap/>
            <w:vAlign w:val="center"/>
            <w:hideMark/>
          </w:tcPr>
          <w:p w14:paraId="77F295C2"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2049625,63</w:t>
            </w:r>
          </w:p>
        </w:tc>
      </w:tr>
      <w:tr w:rsidR="00070BBB" w:rsidRPr="00070BBB" w14:paraId="5DC830BC"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294E437A"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4</w:t>
            </w:r>
          </w:p>
        </w:tc>
        <w:tc>
          <w:tcPr>
            <w:tcW w:w="1646" w:type="dxa"/>
            <w:tcBorders>
              <w:top w:val="nil"/>
              <w:left w:val="nil"/>
              <w:bottom w:val="single" w:sz="4" w:space="0" w:color="auto"/>
              <w:right w:val="single" w:sz="4" w:space="0" w:color="auto"/>
            </w:tcBorders>
            <w:shd w:val="clear" w:color="auto" w:fill="auto"/>
            <w:noWrap/>
            <w:vAlign w:val="center"/>
            <w:hideMark/>
          </w:tcPr>
          <w:p w14:paraId="3A7F7963"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4830390,41</w:t>
            </w:r>
          </w:p>
        </w:tc>
        <w:tc>
          <w:tcPr>
            <w:tcW w:w="3398" w:type="dxa"/>
            <w:tcBorders>
              <w:top w:val="nil"/>
              <w:left w:val="nil"/>
              <w:bottom w:val="single" w:sz="4" w:space="0" w:color="auto"/>
              <w:right w:val="single" w:sz="4" w:space="0" w:color="auto"/>
            </w:tcBorders>
            <w:shd w:val="clear" w:color="auto" w:fill="auto"/>
            <w:noWrap/>
            <w:vAlign w:val="center"/>
            <w:hideMark/>
          </w:tcPr>
          <w:p w14:paraId="47608B2E"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2049635,70</w:t>
            </w:r>
          </w:p>
        </w:tc>
      </w:tr>
      <w:tr w:rsidR="00070BBB" w:rsidRPr="00070BBB" w14:paraId="04426DB8"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64029202"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5</w:t>
            </w:r>
          </w:p>
        </w:tc>
        <w:tc>
          <w:tcPr>
            <w:tcW w:w="1646" w:type="dxa"/>
            <w:tcBorders>
              <w:top w:val="nil"/>
              <w:left w:val="nil"/>
              <w:bottom w:val="single" w:sz="4" w:space="0" w:color="auto"/>
              <w:right w:val="single" w:sz="4" w:space="0" w:color="auto"/>
            </w:tcBorders>
            <w:shd w:val="clear" w:color="auto" w:fill="auto"/>
            <w:noWrap/>
            <w:vAlign w:val="center"/>
            <w:hideMark/>
          </w:tcPr>
          <w:p w14:paraId="51A83E47"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4830381,34</w:t>
            </w:r>
          </w:p>
        </w:tc>
        <w:tc>
          <w:tcPr>
            <w:tcW w:w="3398" w:type="dxa"/>
            <w:tcBorders>
              <w:top w:val="nil"/>
              <w:left w:val="nil"/>
              <w:bottom w:val="single" w:sz="4" w:space="0" w:color="auto"/>
              <w:right w:val="single" w:sz="4" w:space="0" w:color="auto"/>
            </w:tcBorders>
            <w:shd w:val="clear" w:color="auto" w:fill="auto"/>
            <w:noWrap/>
            <w:vAlign w:val="center"/>
            <w:hideMark/>
          </w:tcPr>
          <w:p w14:paraId="3E6A04AE"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2049652,59</w:t>
            </w:r>
          </w:p>
        </w:tc>
      </w:tr>
      <w:tr w:rsidR="00070BBB" w:rsidRPr="00070BBB" w14:paraId="0FDFF2AD"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377CB8B"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6</w:t>
            </w:r>
          </w:p>
        </w:tc>
        <w:tc>
          <w:tcPr>
            <w:tcW w:w="1646" w:type="dxa"/>
            <w:tcBorders>
              <w:top w:val="nil"/>
              <w:left w:val="nil"/>
              <w:bottom w:val="single" w:sz="4" w:space="0" w:color="auto"/>
              <w:right w:val="single" w:sz="4" w:space="0" w:color="auto"/>
            </w:tcBorders>
            <w:shd w:val="clear" w:color="auto" w:fill="auto"/>
            <w:noWrap/>
            <w:vAlign w:val="center"/>
            <w:hideMark/>
          </w:tcPr>
          <w:p w14:paraId="25C8409B"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4830376,29</w:t>
            </w:r>
          </w:p>
        </w:tc>
        <w:tc>
          <w:tcPr>
            <w:tcW w:w="3398" w:type="dxa"/>
            <w:tcBorders>
              <w:top w:val="nil"/>
              <w:left w:val="nil"/>
              <w:bottom w:val="single" w:sz="4" w:space="0" w:color="auto"/>
              <w:right w:val="single" w:sz="4" w:space="0" w:color="auto"/>
            </w:tcBorders>
            <w:shd w:val="clear" w:color="auto" w:fill="auto"/>
            <w:noWrap/>
            <w:vAlign w:val="center"/>
            <w:hideMark/>
          </w:tcPr>
          <w:p w14:paraId="0E633B20"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2049663,48</w:t>
            </w:r>
          </w:p>
        </w:tc>
      </w:tr>
      <w:tr w:rsidR="00070BBB" w:rsidRPr="00070BBB" w14:paraId="03857970"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1D6D853B"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7</w:t>
            </w:r>
          </w:p>
        </w:tc>
        <w:tc>
          <w:tcPr>
            <w:tcW w:w="1646" w:type="dxa"/>
            <w:tcBorders>
              <w:top w:val="nil"/>
              <w:left w:val="nil"/>
              <w:bottom w:val="single" w:sz="4" w:space="0" w:color="auto"/>
              <w:right w:val="single" w:sz="4" w:space="0" w:color="auto"/>
            </w:tcBorders>
            <w:shd w:val="clear" w:color="auto" w:fill="auto"/>
            <w:noWrap/>
            <w:vAlign w:val="center"/>
            <w:hideMark/>
          </w:tcPr>
          <w:p w14:paraId="0D9CEC9F"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4830373,94</w:t>
            </w:r>
          </w:p>
        </w:tc>
        <w:tc>
          <w:tcPr>
            <w:tcW w:w="3398" w:type="dxa"/>
            <w:tcBorders>
              <w:top w:val="nil"/>
              <w:left w:val="nil"/>
              <w:bottom w:val="single" w:sz="4" w:space="0" w:color="auto"/>
              <w:right w:val="single" w:sz="4" w:space="0" w:color="auto"/>
            </w:tcBorders>
            <w:shd w:val="clear" w:color="auto" w:fill="auto"/>
            <w:noWrap/>
            <w:vAlign w:val="center"/>
            <w:hideMark/>
          </w:tcPr>
          <w:p w14:paraId="582E4E7A"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2049680,78</w:t>
            </w:r>
          </w:p>
        </w:tc>
      </w:tr>
      <w:tr w:rsidR="00070BBB" w:rsidRPr="00070BBB" w14:paraId="15F23472"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32906C5E"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8</w:t>
            </w:r>
          </w:p>
        </w:tc>
        <w:tc>
          <w:tcPr>
            <w:tcW w:w="1646" w:type="dxa"/>
            <w:tcBorders>
              <w:top w:val="nil"/>
              <w:left w:val="nil"/>
              <w:bottom w:val="single" w:sz="4" w:space="0" w:color="auto"/>
              <w:right w:val="single" w:sz="4" w:space="0" w:color="auto"/>
            </w:tcBorders>
            <w:shd w:val="clear" w:color="auto" w:fill="auto"/>
            <w:noWrap/>
            <w:vAlign w:val="center"/>
            <w:hideMark/>
          </w:tcPr>
          <w:p w14:paraId="699A3234"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4830368,61</w:t>
            </w:r>
          </w:p>
        </w:tc>
        <w:tc>
          <w:tcPr>
            <w:tcW w:w="3398" w:type="dxa"/>
            <w:tcBorders>
              <w:top w:val="nil"/>
              <w:left w:val="nil"/>
              <w:bottom w:val="single" w:sz="4" w:space="0" w:color="auto"/>
              <w:right w:val="single" w:sz="4" w:space="0" w:color="auto"/>
            </w:tcBorders>
            <w:shd w:val="clear" w:color="auto" w:fill="auto"/>
            <w:noWrap/>
            <w:vAlign w:val="center"/>
            <w:hideMark/>
          </w:tcPr>
          <w:p w14:paraId="5B84EFD9"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2049692,62</w:t>
            </w:r>
          </w:p>
        </w:tc>
      </w:tr>
      <w:tr w:rsidR="00070BBB" w:rsidRPr="00070BBB" w14:paraId="1DCA30C6"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7D2C060"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9</w:t>
            </w:r>
          </w:p>
        </w:tc>
        <w:tc>
          <w:tcPr>
            <w:tcW w:w="1646" w:type="dxa"/>
            <w:tcBorders>
              <w:top w:val="nil"/>
              <w:left w:val="nil"/>
              <w:bottom w:val="single" w:sz="4" w:space="0" w:color="auto"/>
              <w:right w:val="single" w:sz="4" w:space="0" w:color="auto"/>
            </w:tcBorders>
            <w:shd w:val="clear" w:color="auto" w:fill="auto"/>
            <w:noWrap/>
            <w:vAlign w:val="center"/>
            <w:hideMark/>
          </w:tcPr>
          <w:p w14:paraId="3B2AD6E0"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4830362,07</w:t>
            </w:r>
          </w:p>
        </w:tc>
        <w:tc>
          <w:tcPr>
            <w:tcW w:w="3398" w:type="dxa"/>
            <w:tcBorders>
              <w:top w:val="nil"/>
              <w:left w:val="nil"/>
              <w:bottom w:val="single" w:sz="4" w:space="0" w:color="auto"/>
              <w:right w:val="single" w:sz="4" w:space="0" w:color="auto"/>
            </w:tcBorders>
            <w:shd w:val="clear" w:color="auto" w:fill="auto"/>
            <w:noWrap/>
            <w:vAlign w:val="center"/>
            <w:hideMark/>
          </w:tcPr>
          <w:p w14:paraId="75822B75"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2049707,01</w:t>
            </w:r>
          </w:p>
        </w:tc>
      </w:tr>
      <w:tr w:rsidR="00070BBB" w:rsidRPr="00070BBB" w14:paraId="338417DC"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70BDECC6"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lastRenderedPageBreak/>
              <w:t>10</w:t>
            </w:r>
          </w:p>
        </w:tc>
        <w:tc>
          <w:tcPr>
            <w:tcW w:w="1646" w:type="dxa"/>
            <w:tcBorders>
              <w:top w:val="nil"/>
              <w:left w:val="nil"/>
              <w:bottom w:val="single" w:sz="4" w:space="0" w:color="auto"/>
              <w:right w:val="single" w:sz="4" w:space="0" w:color="auto"/>
            </w:tcBorders>
            <w:shd w:val="clear" w:color="auto" w:fill="auto"/>
            <w:noWrap/>
            <w:vAlign w:val="center"/>
            <w:hideMark/>
          </w:tcPr>
          <w:p w14:paraId="413167C2"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4830353,74</w:t>
            </w:r>
          </w:p>
        </w:tc>
        <w:tc>
          <w:tcPr>
            <w:tcW w:w="3398" w:type="dxa"/>
            <w:tcBorders>
              <w:top w:val="nil"/>
              <w:left w:val="nil"/>
              <w:bottom w:val="single" w:sz="4" w:space="0" w:color="auto"/>
              <w:right w:val="single" w:sz="4" w:space="0" w:color="auto"/>
            </w:tcBorders>
            <w:shd w:val="clear" w:color="auto" w:fill="auto"/>
            <w:noWrap/>
            <w:vAlign w:val="center"/>
            <w:hideMark/>
          </w:tcPr>
          <w:p w14:paraId="1F6652D2"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2049741,80</w:t>
            </w:r>
          </w:p>
        </w:tc>
      </w:tr>
      <w:tr w:rsidR="00070BBB" w:rsidRPr="00070BBB" w14:paraId="0950989C"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6D941707"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11</w:t>
            </w:r>
          </w:p>
        </w:tc>
        <w:tc>
          <w:tcPr>
            <w:tcW w:w="1646" w:type="dxa"/>
            <w:tcBorders>
              <w:top w:val="nil"/>
              <w:left w:val="nil"/>
              <w:bottom w:val="single" w:sz="4" w:space="0" w:color="auto"/>
              <w:right w:val="single" w:sz="4" w:space="0" w:color="auto"/>
            </w:tcBorders>
            <w:shd w:val="clear" w:color="auto" w:fill="auto"/>
            <w:noWrap/>
            <w:vAlign w:val="center"/>
            <w:hideMark/>
          </w:tcPr>
          <w:p w14:paraId="65446C04"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4830351,41</w:t>
            </w:r>
          </w:p>
        </w:tc>
        <w:tc>
          <w:tcPr>
            <w:tcW w:w="3398" w:type="dxa"/>
            <w:tcBorders>
              <w:top w:val="nil"/>
              <w:left w:val="nil"/>
              <w:bottom w:val="single" w:sz="4" w:space="0" w:color="auto"/>
              <w:right w:val="single" w:sz="4" w:space="0" w:color="auto"/>
            </w:tcBorders>
            <w:shd w:val="clear" w:color="auto" w:fill="auto"/>
            <w:noWrap/>
            <w:vAlign w:val="center"/>
            <w:hideMark/>
          </w:tcPr>
          <w:p w14:paraId="0CF0B4B1"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2049755,12</w:t>
            </w:r>
          </w:p>
        </w:tc>
      </w:tr>
      <w:tr w:rsidR="00070BBB" w:rsidRPr="00070BBB" w14:paraId="25A622B4"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73FB55E3"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12</w:t>
            </w:r>
          </w:p>
        </w:tc>
        <w:tc>
          <w:tcPr>
            <w:tcW w:w="1646" w:type="dxa"/>
            <w:tcBorders>
              <w:top w:val="nil"/>
              <w:left w:val="nil"/>
              <w:bottom w:val="single" w:sz="4" w:space="0" w:color="auto"/>
              <w:right w:val="single" w:sz="4" w:space="0" w:color="auto"/>
            </w:tcBorders>
            <w:shd w:val="clear" w:color="auto" w:fill="auto"/>
            <w:noWrap/>
            <w:vAlign w:val="center"/>
            <w:hideMark/>
          </w:tcPr>
          <w:p w14:paraId="0C1ACEAB"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4830347,49</w:t>
            </w:r>
          </w:p>
        </w:tc>
        <w:tc>
          <w:tcPr>
            <w:tcW w:w="3398" w:type="dxa"/>
            <w:tcBorders>
              <w:top w:val="nil"/>
              <w:left w:val="nil"/>
              <w:bottom w:val="single" w:sz="4" w:space="0" w:color="auto"/>
              <w:right w:val="single" w:sz="4" w:space="0" w:color="auto"/>
            </w:tcBorders>
            <w:shd w:val="clear" w:color="auto" w:fill="auto"/>
            <w:noWrap/>
            <w:vAlign w:val="center"/>
            <w:hideMark/>
          </w:tcPr>
          <w:p w14:paraId="7B772A7E"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2049773,67</w:t>
            </w:r>
          </w:p>
        </w:tc>
      </w:tr>
      <w:tr w:rsidR="00070BBB" w:rsidRPr="00070BBB" w14:paraId="37A156C0"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718E21D6"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13</w:t>
            </w:r>
          </w:p>
        </w:tc>
        <w:tc>
          <w:tcPr>
            <w:tcW w:w="1646" w:type="dxa"/>
            <w:tcBorders>
              <w:top w:val="nil"/>
              <w:left w:val="nil"/>
              <w:bottom w:val="single" w:sz="4" w:space="0" w:color="auto"/>
              <w:right w:val="single" w:sz="4" w:space="0" w:color="auto"/>
            </w:tcBorders>
            <w:shd w:val="clear" w:color="auto" w:fill="auto"/>
            <w:noWrap/>
            <w:vAlign w:val="center"/>
            <w:hideMark/>
          </w:tcPr>
          <w:p w14:paraId="74B515C3"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4830340,85</w:t>
            </w:r>
          </w:p>
        </w:tc>
        <w:tc>
          <w:tcPr>
            <w:tcW w:w="3398" w:type="dxa"/>
            <w:tcBorders>
              <w:top w:val="nil"/>
              <w:left w:val="nil"/>
              <w:bottom w:val="single" w:sz="4" w:space="0" w:color="auto"/>
              <w:right w:val="single" w:sz="4" w:space="0" w:color="auto"/>
            </w:tcBorders>
            <w:shd w:val="clear" w:color="auto" w:fill="auto"/>
            <w:noWrap/>
            <w:vAlign w:val="center"/>
            <w:hideMark/>
          </w:tcPr>
          <w:p w14:paraId="6210BFF7"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2049803,31</w:t>
            </w:r>
          </w:p>
        </w:tc>
      </w:tr>
      <w:tr w:rsidR="00070BBB" w:rsidRPr="00070BBB" w14:paraId="212DC91E"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4389CC6E"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14</w:t>
            </w:r>
          </w:p>
        </w:tc>
        <w:tc>
          <w:tcPr>
            <w:tcW w:w="1646" w:type="dxa"/>
            <w:tcBorders>
              <w:top w:val="nil"/>
              <w:left w:val="nil"/>
              <w:bottom w:val="single" w:sz="4" w:space="0" w:color="auto"/>
              <w:right w:val="single" w:sz="4" w:space="0" w:color="auto"/>
            </w:tcBorders>
            <w:shd w:val="clear" w:color="auto" w:fill="auto"/>
            <w:noWrap/>
            <w:vAlign w:val="center"/>
            <w:hideMark/>
          </w:tcPr>
          <w:p w14:paraId="18747925"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4830336,23</w:t>
            </w:r>
          </w:p>
        </w:tc>
        <w:tc>
          <w:tcPr>
            <w:tcW w:w="3398" w:type="dxa"/>
            <w:tcBorders>
              <w:top w:val="nil"/>
              <w:left w:val="nil"/>
              <w:bottom w:val="single" w:sz="4" w:space="0" w:color="auto"/>
              <w:right w:val="single" w:sz="4" w:space="0" w:color="auto"/>
            </w:tcBorders>
            <w:shd w:val="clear" w:color="auto" w:fill="auto"/>
            <w:noWrap/>
            <w:vAlign w:val="center"/>
            <w:hideMark/>
          </w:tcPr>
          <w:p w14:paraId="47584A78"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2049829,13</w:t>
            </w:r>
          </w:p>
        </w:tc>
      </w:tr>
      <w:tr w:rsidR="00070BBB" w:rsidRPr="00070BBB" w14:paraId="451E2446"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74895079"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15</w:t>
            </w:r>
          </w:p>
        </w:tc>
        <w:tc>
          <w:tcPr>
            <w:tcW w:w="1646" w:type="dxa"/>
            <w:tcBorders>
              <w:top w:val="nil"/>
              <w:left w:val="nil"/>
              <w:bottom w:val="single" w:sz="4" w:space="0" w:color="auto"/>
              <w:right w:val="single" w:sz="4" w:space="0" w:color="auto"/>
            </w:tcBorders>
            <w:shd w:val="clear" w:color="auto" w:fill="auto"/>
            <w:noWrap/>
            <w:vAlign w:val="center"/>
            <w:hideMark/>
          </w:tcPr>
          <w:p w14:paraId="52E12439"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4830335,97</w:t>
            </w:r>
          </w:p>
        </w:tc>
        <w:tc>
          <w:tcPr>
            <w:tcW w:w="3398" w:type="dxa"/>
            <w:tcBorders>
              <w:top w:val="nil"/>
              <w:left w:val="nil"/>
              <w:bottom w:val="single" w:sz="4" w:space="0" w:color="auto"/>
              <w:right w:val="single" w:sz="4" w:space="0" w:color="auto"/>
            </w:tcBorders>
            <w:shd w:val="clear" w:color="auto" w:fill="auto"/>
            <w:noWrap/>
            <w:vAlign w:val="center"/>
            <w:hideMark/>
          </w:tcPr>
          <w:p w14:paraId="223778B3"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2049849,86</w:t>
            </w:r>
          </w:p>
        </w:tc>
      </w:tr>
      <w:tr w:rsidR="00070BBB" w:rsidRPr="00070BBB" w14:paraId="5331E46D"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30626294"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16</w:t>
            </w:r>
          </w:p>
        </w:tc>
        <w:tc>
          <w:tcPr>
            <w:tcW w:w="1646" w:type="dxa"/>
            <w:tcBorders>
              <w:top w:val="nil"/>
              <w:left w:val="nil"/>
              <w:bottom w:val="single" w:sz="4" w:space="0" w:color="auto"/>
              <w:right w:val="single" w:sz="4" w:space="0" w:color="auto"/>
            </w:tcBorders>
            <w:shd w:val="clear" w:color="auto" w:fill="auto"/>
            <w:noWrap/>
            <w:vAlign w:val="center"/>
            <w:hideMark/>
          </w:tcPr>
          <w:p w14:paraId="496C96BD"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4830337,06</w:t>
            </w:r>
          </w:p>
        </w:tc>
        <w:tc>
          <w:tcPr>
            <w:tcW w:w="3398" w:type="dxa"/>
            <w:tcBorders>
              <w:top w:val="nil"/>
              <w:left w:val="nil"/>
              <w:bottom w:val="single" w:sz="4" w:space="0" w:color="auto"/>
              <w:right w:val="single" w:sz="4" w:space="0" w:color="auto"/>
            </w:tcBorders>
            <w:shd w:val="clear" w:color="auto" w:fill="auto"/>
            <w:noWrap/>
            <w:vAlign w:val="center"/>
            <w:hideMark/>
          </w:tcPr>
          <w:p w14:paraId="65DFBBBB"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2049872,07</w:t>
            </w:r>
          </w:p>
        </w:tc>
      </w:tr>
      <w:tr w:rsidR="00070BBB" w:rsidRPr="00070BBB" w14:paraId="5D82E9FC"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3C150E3A"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17</w:t>
            </w:r>
          </w:p>
        </w:tc>
        <w:tc>
          <w:tcPr>
            <w:tcW w:w="1646" w:type="dxa"/>
            <w:tcBorders>
              <w:top w:val="nil"/>
              <w:left w:val="nil"/>
              <w:bottom w:val="single" w:sz="4" w:space="0" w:color="auto"/>
              <w:right w:val="single" w:sz="4" w:space="0" w:color="auto"/>
            </w:tcBorders>
            <w:shd w:val="clear" w:color="auto" w:fill="auto"/>
            <w:noWrap/>
            <w:vAlign w:val="center"/>
            <w:hideMark/>
          </w:tcPr>
          <w:p w14:paraId="0ECF9EBD"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4830361,99</w:t>
            </w:r>
          </w:p>
        </w:tc>
        <w:tc>
          <w:tcPr>
            <w:tcW w:w="3398" w:type="dxa"/>
            <w:tcBorders>
              <w:top w:val="nil"/>
              <w:left w:val="nil"/>
              <w:bottom w:val="single" w:sz="4" w:space="0" w:color="auto"/>
              <w:right w:val="single" w:sz="4" w:space="0" w:color="auto"/>
            </w:tcBorders>
            <w:shd w:val="clear" w:color="auto" w:fill="auto"/>
            <w:noWrap/>
            <w:vAlign w:val="center"/>
            <w:hideMark/>
          </w:tcPr>
          <w:p w14:paraId="4E098011"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2049870,23</w:t>
            </w:r>
          </w:p>
        </w:tc>
      </w:tr>
      <w:tr w:rsidR="00070BBB" w:rsidRPr="00070BBB" w14:paraId="248A6186"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2575246"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18</w:t>
            </w:r>
          </w:p>
        </w:tc>
        <w:tc>
          <w:tcPr>
            <w:tcW w:w="1646" w:type="dxa"/>
            <w:tcBorders>
              <w:top w:val="nil"/>
              <w:left w:val="nil"/>
              <w:bottom w:val="single" w:sz="4" w:space="0" w:color="auto"/>
              <w:right w:val="single" w:sz="4" w:space="0" w:color="auto"/>
            </w:tcBorders>
            <w:shd w:val="clear" w:color="auto" w:fill="auto"/>
            <w:noWrap/>
            <w:vAlign w:val="center"/>
            <w:hideMark/>
          </w:tcPr>
          <w:p w14:paraId="6AFC0638"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4830361,09</w:t>
            </w:r>
          </w:p>
        </w:tc>
        <w:tc>
          <w:tcPr>
            <w:tcW w:w="3398" w:type="dxa"/>
            <w:tcBorders>
              <w:top w:val="nil"/>
              <w:left w:val="nil"/>
              <w:bottom w:val="single" w:sz="4" w:space="0" w:color="auto"/>
              <w:right w:val="single" w:sz="4" w:space="0" w:color="auto"/>
            </w:tcBorders>
            <w:shd w:val="clear" w:color="auto" w:fill="auto"/>
            <w:noWrap/>
            <w:vAlign w:val="center"/>
            <w:hideMark/>
          </w:tcPr>
          <w:p w14:paraId="6187746D"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2049866,05</w:t>
            </w:r>
          </w:p>
        </w:tc>
      </w:tr>
      <w:tr w:rsidR="00070BBB" w:rsidRPr="00070BBB" w14:paraId="20F58661"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6BCC290B"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19</w:t>
            </w:r>
          </w:p>
        </w:tc>
        <w:tc>
          <w:tcPr>
            <w:tcW w:w="1646" w:type="dxa"/>
            <w:tcBorders>
              <w:top w:val="nil"/>
              <w:left w:val="nil"/>
              <w:bottom w:val="single" w:sz="4" w:space="0" w:color="auto"/>
              <w:right w:val="single" w:sz="4" w:space="0" w:color="auto"/>
            </w:tcBorders>
            <w:shd w:val="clear" w:color="auto" w:fill="auto"/>
            <w:noWrap/>
            <w:vAlign w:val="center"/>
            <w:hideMark/>
          </w:tcPr>
          <w:p w14:paraId="124F8342"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4830360,28</w:t>
            </w:r>
          </w:p>
        </w:tc>
        <w:tc>
          <w:tcPr>
            <w:tcW w:w="3398" w:type="dxa"/>
            <w:tcBorders>
              <w:top w:val="nil"/>
              <w:left w:val="nil"/>
              <w:bottom w:val="single" w:sz="4" w:space="0" w:color="auto"/>
              <w:right w:val="single" w:sz="4" w:space="0" w:color="auto"/>
            </w:tcBorders>
            <w:shd w:val="clear" w:color="auto" w:fill="auto"/>
            <w:noWrap/>
            <w:vAlign w:val="center"/>
            <w:hideMark/>
          </w:tcPr>
          <w:p w14:paraId="0F6B42FC"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2049849,00</w:t>
            </w:r>
          </w:p>
        </w:tc>
      </w:tr>
      <w:tr w:rsidR="00070BBB" w:rsidRPr="00070BBB" w14:paraId="5DFEC2C2"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630FFFF"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20</w:t>
            </w:r>
          </w:p>
        </w:tc>
        <w:tc>
          <w:tcPr>
            <w:tcW w:w="1646" w:type="dxa"/>
            <w:tcBorders>
              <w:top w:val="nil"/>
              <w:left w:val="nil"/>
              <w:bottom w:val="single" w:sz="4" w:space="0" w:color="auto"/>
              <w:right w:val="single" w:sz="4" w:space="0" w:color="auto"/>
            </w:tcBorders>
            <w:shd w:val="clear" w:color="auto" w:fill="auto"/>
            <w:noWrap/>
            <w:vAlign w:val="center"/>
            <w:hideMark/>
          </w:tcPr>
          <w:p w14:paraId="20D99B6D"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4830360,64</w:t>
            </w:r>
          </w:p>
        </w:tc>
        <w:tc>
          <w:tcPr>
            <w:tcW w:w="3398" w:type="dxa"/>
            <w:tcBorders>
              <w:top w:val="nil"/>
              <w:left w:val="nil"/>
              <w:bottom w:val="single" w:sz="4" w:space="0" w:color="auto"/>
              <w:right w:val="single" w:sz="4" w:space="0" w:color="auto"/>
            </w:tcBorders>
            <w:shd w:val="clear" w:color="auto" w:fill="auto"/>
            <w:noWrap/>
            <w:vAlign w:val="center"/>
            <w:hideMark/>
          </w:tcPr>
          <w:p w14:paraId="572C6A81"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2049826,78</w:t>
            </w:r>
          </w:p>
        </w:tc>
      </w:tr>
      <w:tr w:rsidR="00070BBB" w:rsidRPr="00070BBB" w14:paraId="6445BD94"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11827BE6"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21</w:t>
            </w:r>
          </w:p>
        </w:tc>
        <w:tc>
          <w:tcPr>
            <w:tcW w:w="1646" w:type="dxa"/>
            <w:tcBorders>
              <w:top w:val="nil"/>
              <w:left w:val="nil"/>
              <w:bottom w:val="single" w:sz="4" w:space="0" w:color="auto"/>
              <w:right w:val="single" w:sz="4" w:space="0" w:color="auto"/>
            </w:tcBorders>
            <w:shd w:val="clear" w:color="auto" w:fill="auto"/>
            <w:noWrap/>
            <w:vAlign w:val="center"/>
            <w:hideMark/>
          </w:tcPr>
          <w:p w14:paraId="55D7DDDA"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4830361,21</w:t>
            </w:r>
          </w:p>
        </w:tc>
        <w:tc>
          <w:tcPr>
            <w:tcW w:w="3398" w:type="dxa"/>
            <w:tcBorders>
              <w:top w:val="nil"/>
              <w:left w:val="nil"/>
              <w:bottom w:val="single" w:sz="4" w:space="0" w:color="auto"/>
              <w:right w:val="single" w:sz="4" w:space="0" w:color="auto"/>
            </w:tcBorders>
            <w:shd w:val="clear" w:color="auto" w:fill="auto"/>
            <w:noWrap/>
            <w:vAlign w:val="center"/>
            <w:hideMark/>
          </w:tcPr>
          <w:p w14:paraId="5566CFFB"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2049810,09</w:t>
            </w:r>
          </w:p>
        </w:tc>
      </w:tr>
      <w:tr w:rsidR="00070BBB" w:rsidRPr="00070BBB" w14:paraId="1A581AE8"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6286B818"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22</w:t>
            </w:r>
          </w:p>
        </w:tc>
        <w:tc>
          <w:tcPr>
            <w:tcW w:w="1646" w:type="dxa"/>
            <w:tcBorders>
              <w:top w:val="nil"/>
              <w:left w:val="nil"/>
              <w:bottom w:val="single" w:sz="4" w:space="0" w:color="auto"/>
              <w:right w:val="single" w:sz="4" w:space="0" w:color="auto"/>
            </w:tcBorders>
            <w:shd w:val="clear" w:color="auto" w:fill="auto"/>
            <w:noWrap/>
            <w:vAlign w:val="center"/>
            <w:hideMark/>
          </w:tcPr>
          <w:p w14:paraId="65516F0C"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4830364,76</w:t>
            </w:r>
          </w:p>
        </w:tc>
        <w:tc>
          <w:tcPr>
            <w:tcW w:w="3398" w:type="dxa"/>
            <w:tcBorders>
              <w:top w:val="nil"/>
              <w:left w:val="nil"/>
              <w:bottom w:val="single" w:sz="4" w:space="0" w:color="auto"/>
              <w:right w:val="single" w:sz="4" w:space="0" w:color="auto"/>
            </w:tcBorders>
            <w:shd w:val="clear" w:color="auto" w:fill="auto"/>
            <w:noWrap/>
            <w:vAlign w:val="center"/>
            <w:hideMark/>
          </w:tcPr>
          <w:p w14:paraId="001E02A5"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2049796,99</w:t>
            </w:r>
          </w:p>
        </w:tc>
      </w:tr>
      <w:tr w:rsidR="00070BBB" w:rsidRPr="00070BBB" w14:paraId="0B5A93F0"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410CFB24"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23</w:t>
            </w:r>
          </w:p>
        </w:tc>
        <w:tc>
          <w:tcPr>
            <w:tcW w:w="1646" w:type="dxa"/>
            <w:tcBorders>
              <w:top w:val="nil"/>
              <w:left w:val="nil"/>
              <w:bottom w:val="single" w:sz="4" w:space="0" w:color="auto"/>
              <w:right w:val="single" w:sz="4" w:space="0" w:color="auto"/>
            </w:tcBorders>
            <w:shd w:val="clear" w:color="auto" w:fill="auto"/>
            <w:noWrap/>
            <w:vAlign w:val="center"/>
            <w:hideMark/>
          </w:tcPr>
          <w:p w14:paraId="2A0B7984"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4830373,88</w:t>
            </w:r>
          </w:p>
        </w:tc>
        <w:tc>
          <w:tcPr>
            <w:tcW w:w="3398" w:type="dxa"/>
            <w:tcBorders>
              <w:top w:val="nil"/>
              <w:left w:val="nil"/>
              <w:bottom w:val="single" w:sz="4" w:space="0" w:color="auto"/>
              <w:right w:val="single" w:sz="4" w:space="0" w:color="auto"/>
            </w:tcBorders>
            <w:shd w:val="clear" w:color="auto" w:fill="auto"/>
            <w:noWrap/>
            <w:vAlign w:val="center"/>
            <w:hideMark/>
          </w:tcPr>
          <w:p w14:paraId="1541760D"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2049791,82</w:t>
            </w:r>
          </w:p>
        </w:tc>
      </w:tr>
      <w:tr w:rsidR="00070BBB" w:rsidRPr="00070BBB" w14:paraId="283B6CD3"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2CEA0F0B"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24</w:t>
            </w:r>
          </w:p>
        </w:tc>
        <w:tc>
          <w:tcPr>
            <w:tcW w:w="1646" w:type="dxa"/>
            <w:tcBorders>
              <w:top w:val="nil"/>
              <w:left w:val="nil"/>
              <w:bottom w:val="single" w:sz="4" w:space="0" w:color="auto"/>
              <w:right w:val="single" w:sz="4" w:space="0" w:color="auto"/>
            </w:tcBorders>
            <w:shd w:val="clear" w:color="auto" w:fill="auto"/>
            <w:noWrap/>
            <w:vAlign w:val="center"/>
            <w:hideMark/>
          </w:tcPr>
          <w:p w14:paraId="2A4FDCF5"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4830398,08</w:t>
            </w:r>
          </w:p>
        </w:tc>
        <w:tc>
          <w:tcPr>
            <w:tcW w:w="3398" w:type="dxa"/>
            <w:tcBorders>
              <w:top w:val="nil"/>
              <w:left w:val="nil"/>
              <w:bottom w:val="single" w:sz="4" w:space="0" w:color="auto"/>
              <w:right w:val="single" w:sz="4" w:space="0" w:color="auto"/>
            </w:tcBorders>
            <w:shd w:val="clear" w:color="auto" w:fill="auto"/>
            <w:noWrap/>
            <w:vAlign w:val="center"/>
            <w:hideMark/>
          </w:tcPr>
          <w:p w14:paraId="54DC732D"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2049793,77</w:t>
            </w:r>
          </w:p>
        </w:tc>
      </w:tr>
      <w:tr w:rsidR="00070BBB" w:rsidRPr="00070BBB" w14:paraId="1072720C"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0ACAAE93"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25</w:t>
            </w:r>
          </w:p>
        </w:tc>
        <w:tc>
          <w:tcPr>
            <w:tcW w:w="1646" w:type="dxa"/>
            <w:tcBorders>
              <w:top w:val="nil"/>
              <w:left w:val="nil"/>
              <w:bottom w:val="single" w:sz="4" w:space="0" w:color="auto"/>
              <w:right w:val="single" w:sz="4" w:space="0" w:color="auto"/>
            </w:tcBorders>
            <w:shd w:val="clear" w:color="auto" w:fill="auto"/>
            <w:noWrap/>
            <w:vAlign w:val="center"/>
            <w:hideMark/>
          </w:tcPr>
          <w:p w14:paraId="1C9801AA"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4830427,44</w:t>
            </w:r>
          </w:p>
        </w:tc>
        <w:tc>
          <w:tcPr>
            <w:tcW w:w="3398" w:type="dxa"/>
            <w:tcBorders>
              <w:top w:val="nil"/>
              <w:left w:val="nil"/>
              <w:bottom w:val="single" w:sz="4" w:space="0" w:color="auto"/>
              <w:right w:val="single" w:sz="4" w:space="0" w:color="auto"/>
            </w:tcBorders>
            <w:shd w:val="clear" w:color="auto" w:fill="auto"/>
            <w:noWrap/>
            <w:vAlign w:val="center"/>
            <w:hideMark/>
          </w:tcPr>
          <w:p w14:paraId="0E849C72"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2049796,50</w:t>
            </w:r>
          </w:p>
        </w:tc>
      </w:tr>
      <w:tr w:rsidR="00070BBB" w:rsidRPr="00070BBB" w14:paraId="0D6D80D2"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118DE56B"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26</w:t>
            </w:r>
          </w:p>
        </w:tc>
        <w:tc>
          <w:tcPr>
            <w:tcW w:w="1646" w:type="dxa"/>
            <w:tcBorders>
              <w:top w:val="nil"/>
              <w:left w:val="nil"/>
              <w:bottom w:val="single" w:sz="4" w:space="0" w:color="auto"/>
              <w:right w:val="single" w:sz="4" w:space="0" w:color="auto"/>
            </w:tcBorders>
            <w:shd w:val="clear" w:color="auto" w:fill="auto"/>
            <w:noWrap/>
            <w:vAlign w:val="center"/>
            <w:hideMark/>
          </w:tcPr>
          <w:p w14:paraId="0BA6F00C"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4830459,57</w:t>
            </w:r>
          </w:p>
        </w:tc>
        <w:tc>
          <w:tcPr>
            <w:tcW w:w="3398" w:type="dxa"/>
            <w:tcBorders>
              <w:top w:val="nil"/>
              <w:left w:val="nil"/>
              <w:bottom w:val="single" w:sz="4" w:space="0" w:color="auto"/>
              <w:right w:val="single" w:sz="4" w:space="0" w:color="auto"/>
            </w:tcBorders>
            <w:shd w:val="clear" w:color="auto" w:fill="auto"/>
            <w:noWrap/>
            <w:vAlign w:val="center"/>
            <w:hideMark/>
          </w:tcPr>
          <w:p w14:paraId="1E53BC5A"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2049798,84</w:t>
            </w:r>
          </w:p>
        </w:tc>
      </w:tr>
      <w:tr w:rsidR="00070BBB" w:rsidRPr="00070BBB" w14:paraId="7A208BA5"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3CF3ADA3"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27</w:t>
            </w:r>
          </w:p>
        </w:tc>
        <w:tc>
          <w:tcPr>
            <w:tcW w:w="1646" w:type="dxa"/>
            <w:tcBorders>
              <w:top w:val="nil"/>
              <w:left w:val="nil"/>
              <w:bottom w:val="single" w:sz="4" w:space="0" w:color="auto"/>
              <w:right w:val="single" w:sz="4" w:space="0" w:color="auto"/>
            </w:tcBorders>
            <w:shd w:val="clear" w:color="auto" w:fill="auto"/>
            <w:noWrap/>
            <w:vAlign w:val="center"/>
            <w:hideMark/>
          </w:tcPr>
          <w:p w14:paraId="6B592CA4"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4830492,89</w:t>
            </w:r>
          </w:p>
        </w:tc>
        <w:tc>
          <w:tcPr>
            <w:tcW w:w="3398" w:type="dxa"/>
            <w:tcBorders>
              <w:top w:val="nil"/>
              <w:left w:val="nil"/>
              <w:bottom w:val="single" w:sz="4" w:space="0" w:color="auto"/>
              <w:right w:val="single" w:sz="4" w:space="0" w:color="auto"/>
            </w:tcBorders>
            <w:shd w:val="clear" w:color="auto" w:fill="auto"/>
            <w:noWrap/>
            <w:vAlign w:val="center"/>
            <w:hideMark/>
          </w:tcPr>
          <w:p w14:paraId="57127508"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2049794,82</w:t>
            </w:r>
          </w:p>
        </w:tc>
      </w:tr>
      <w:tr w:rsidR="00070BBB" w:rsidRPr="00070BBB" w14:paraId="10452616"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4D9A2DAE"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28</w:t>
            </w:r>
          </w:p>
        </w:tc>
        <w:tc>
          <w:tcPr>
            <w:tcW w:w="1646" w:type="dxa"/>
            <w:tcBorders>
              <w:top w:val="nil"/>
              <w:left w:val="nil"/>
              <w:bottom w:val="single" w:sz="4" w:space="0" w:color="auto"/>
              <w:right w:val="single" w:sz="4" w:space="0" w:color="auto"/>
            </w:tcBorders>
            <w:shd w:val="clear" w:color="auto" w:fill="auto"/>
            <w:noWrap/>
            <w:vAlign w:val="center"/>
            <w:hideMark/>
          </w:tcPr>
          <w:p w14:paraId="2ED7460D"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4830517,47</w:t>
            </w:r>
          </w:p>
        </w:tc>
        <w:tc>
          <w:tcPr>
            <w:tcW w:w="3398" w:type="dxa"/>
            <w:tcBorders>
              <w:top w:val="nil"/>
              <w:left w:val="nil"/>
              <w:bottom w:val="single" w:sz="4" w:space="0" w:color="auto"/>
              <w:right w:val="single" w:sz="4" w:space="0" w:color="auto"/>
            </w:tcBorders>
            <w:shd w:val="clear" w:color="auto" w:fill="auto"/>
            <w:noWrap/>
            <w:vAlign w:val="center"/>
            <w:hideMark/>
          </w:tcPr>
          <w:p w14:paraId="13A73266"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2049789,23</w:t>
            </w:r>
          </w:p>
        </w:tc>
      </w:tr>
      <w:tr w:rsidR="00070BBB" w:rsidRPr="00070BBB" w14:paraId="68846FAA"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47D2C1DB"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29</w:t>
            </w:r>
          </w:p>
        </w:tc>
        <w:tc>
          <w:tcPr>
            <w:tcW w:w="1646" w:type="dxa"/>
            <w:tcBorders>
              <w:top w:val="nil"/>
              <w:left w:val="nil"/>
              <w:bottom w:val="single" w:sz="4" w:space="0" w:color="auto"/>
              <w:right w:val="single" w:sz="4" w:space="0" w:color="auto"/>
            </w:tcBorders>
            <w:shd w:val="clear" w:color="auto" w:fill="auto"/>
            <w:noWrap/>
            <w:vAlign w:val="center"/>
            <w:hideMark/>
          </w:tcPr>
          <w:p w14:paraId="7B63BA4F"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4830538,89</w:t>
            </w:r>
          </w:p>
        </w:tc>
        <w:tc>
          <w:tcPr>
            <w:tcW w:w="3398" w:type="dxa"/>
            <w:tcBorders>
              <w:top w:val="nil"/>
              <w:left w:val="nil"/>
              <w:bottom w:val="single" w:sz="4" w:space="0" w:color="auto"/>
              <w:right w:val="single" w:sz="4" w:space="0" w:color="auto"/>
            </w:tcBorders>
            <w:shd w:val="clear" w:color="auto" w:fill="auto"/>
            <w:noWrap/>
            <w:vAlign w:val="center"/>
            <w:hideMark/>
          </w:tcPr>
          <w:p w14:paraId="3BEF5B0A"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2049782,46</w:t>
            </w:r>
          </w:p>
        </w:tc>
      </w:tr>
      <w:tr w:rsidR="00070BBB" w:rsidRPr="00070BBB" w14:paraId="5A670BE8"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3BBCAF37"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30</w:t>
            </w:r>
          </w:p>
        </w:tc>
        <w:tc>
          <w:tcPr>
            <w:tcW w:w="1646" w:type="dxa"/>
            <w:tcBorders>
              <w:top w:val="nil"/>
              <w:left w:val="nil"/>
              <w:bottom w:val="single" w:sz="4" w:space="0" w:color="auto"/>
              <w:right w:val="single" w:sz="4" w:space="0" w:color="auto"/>
            </w:tcBorders>
            <w:shd w:val="clear" w:color="auto" w:fill="auto"/>
            <w:noWrap/>
            <w:vAlign w:val="center"/>
            <w:hideMark/>
          </w:tcPr>
          <w:p w14:paraId="509A9E61"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4830555,75</w:t>
            </w:r>
          </w:p>
        </w:tc>
        <w:tc>
          <w:tcPr>
            <w:tcW w:w="3398" w:type="dxa"/>
            <w:tcBorders>
              <w:top w:val="nil"/>
              <w:left w:val="nil"/>
              <w:bottom w:val="single" w:sz="4" w:space="0" w:color="auto"/>
              <w:right w:val="single" w:sz="4" w:space="0" w:color="auto"/>
            </w:tcBorders>
            <w:shd w:val="clear" w:color="auto" w:fill="auto"/>
            <w:noWrap/>
            <w:vAlign w:val="center"/>
            <w:hideMark/>
          </w:tcPr>
          <w:p w14:paraId="56BAE16E"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2049774,08</w:t>
            </w:r>
          </w:p>
        </w:tc>
      </w:tr>
      <w:tr w:rsidR="00070BBB" w:rsidRPr="00070BBB" w14:paraId="7D5DBD1C"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3E40A00B"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31</w:t>
            </w:r>
          </w:p>
        </w:tc>
        <w:tc>
          <w:tcPr>
            <w:tcW w:w="1646" w:type="dxa"/>
            <w:tcBorders>
              <w:top w:val="nil"/>
              <w:left w:val="nil"/>
              <w:bottom w:val="single" w:sz="4" w:space="0" w:color="auto"/>
              <w:right w:val="single" w:sz="4" w:space="0" w:color="auto"/>
            </w:tcBorders>
            <w:shd w:val="clear" w:color="auto" w:fill="auto"/>
            <w:noWrap/>
            <w:vAlign w:val="center"/>
            <w:hideMark/>
          </w:tcPr>
          <w:p w14:paraId="50489AE4"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4830584,56</w:t>
            </w:r>
          </w:p>
        </w:tc>
        <w:tc>
          <w:tcPr>
            <w:tcW w:w="3398" w:type="dxa"/>
            <w:tcBorders>
              <w:top w:val="nil"/>
              <w:left w:val="nil"/>
              <w:bottom w:val="single" w:sz="4" w:space="0" w:color="auto"/>
              <w:right w:val="single" w:sz="4" w:space="0" w:color="auto"/>
            </w:tcBorders>
            <w:shd w:val="clear" w:color="auto" w:fill="auto"/>
            <w:noWrap/>
            <w:vAlign w:val="center"/>
            <w:hideMark/>
          </w:tcPr>
          <w:p w14:paraId="0C6AEEF4"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2049754,79</w:t>
            </w:r>
          </w:p>
        </w:tc>
      </w:tr>
      <w:tr w:rsidR="00070BBB" w:rsidRPr="00070BBB" w14:paraId="3829CDBB" w14:textId="77777777" w:rsidTr="00072099">
        <w:trPr>
          <w:trHeight w:val="288"/>
          <w:jc w:val="center"/>
        </w:trPr>
        <w:tc>
          <w:tcPr>
            <w:tcW w:w="1536" w:type="dxa"/>
            <w:tcBorders>
              <w:top w:val="nil"/>
              <w:left w:val="single" w:sz="4" w:space="0" w:color="auto"/>
              <w:bottom w:val="single" w:sz="4" w:space="0" w:color="auto"/>
              <w:right w:val="single" w:sz="4" w:space="0" w:color="auto"/>
            </w:tcBorders>
            <w:shd w:val="clear" w:color="auto" w:fill="auto"/>
            <w:noWrap/>
            <w:vAlign w:val="center"/>
            <w:hideMark/>
          </w:tcPr>
          <w:p w14:paraId="102CDD67"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32</w:t>
            </w:r>
          </w:p>
        </w:tc>
        <w:tc>
          <w:tcPr>
            <w:tcW w:w="1646" w:type="dxa"/>
            <w:tcBorders>
              <w:top w:val="nil"/>
              <w:left w:val="nil"/>
              <w:bottom w:val="single" w:sz="4" w:space="0" w:color="auto"/>
              <w:right w:val="single" w:sz="4" w:space="0" w:color="auto"/>
            </w:tcBorders>
            <w:shd w:val="clear" w:color="auto" w:fill="auto"/>
            <w:noWrap/>
            <w:vAlign w:val="center"/>
            <w:hideMark/>
          </w:tcPr>
          <w:p w14:paraId="24366035"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4830595,47</w:t>
            </w:r>
          </w:p>
        </w:tc>
        <w:tc>
          <w:tcPr>
            <w:tcW w:w="3398" w:type="dxa"/>
            <w:tcBorders>
              <w:top w:val="nil"/>
              <w:left w:val="nil"/>
              <w:bottom w:val="single" w:sz="4" w:space="0" w:color="auto"/>
              <w:right w:val="single" w:sz="4" w:space="0" w:color="auto"/>
            </w:tcBorders>
            <w:shd w:val="clear" w:color="auto" w:fill="auto"/>
            <w:noWrap/>
            <w:vAlign w:val="center"/>
            <w:hideMark/>
          </w:tcPr>
          <w:p w14:paraId="5515960A"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2049743,14</w:t>
            </w:r>
          </w:p>
        </w:tc>
      </w:tr>
      <w:tr w:rsidR="00070BBB" w:rsidRPr="00070BBB" w14:paraId="374F3E9B" w14:textId="77777777" w:rsidTr="00072099">
        <w:trPr>
          <w:trHeight w:val="288"/>
          <w:jc w:val="center"/>
        </w:trPr>
        <w:tc>
          <w:tcPr>
            <w:tcW w:w="3182"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6C65F71"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ÁREA</w:t>
            </w:r>
          </w:p>
        </w:tc>
        <w:tc>
          <w:tcPr>
            <w:tcW w:w="3398" w:type="dxa"/>
            <w:tcBorders>
              <w:top w:val="nil"/>
              <w:left w:val="nil"/>
              <w:bottom w:val="single" w:sz="4" w:space="0" w:color="auto"/>
              <w:right w:val="single" w:sz="4" w:space="0" w:color="auto"/>
            </w:tcBorders>
            <w:shd w:val="clear" w:color="000000" w:fill="E7E6E6"/>
            <w:noWrap/>
            <w:vAlign w:val="bottom"/>
            <w:hideMark/>
          </w:tcPr>
          <w:p w14:paraId="73484A17"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 xml:space="preserve">3,05 </w:t>
            </w:r>
            <w:proofErr w:type="gramStart"/>
            <w:r w:rsidRPr="00070BBB">
              <w:rPr>
                <w:rFonts w:cstheme="majorHAnsi"/>
                <w:color w:val="000000"/>
                <w:lang w:val="es-ES" w:eastAsia="es-ES"/>
              </w:rPr>
              <w:t>Ha</w:t>
            </w:r>
            <w:proofErr w:type="gramEnd"/>
          </w:p>
        </w:tc>
      </w:tr>
      <w:tr w:rsidR="00070BBB" w:rsidRPr="00070BBB" w14:paraId="60DBA2E9" w14:textId="77777777" w:rsidTr="00072099">
        <w:trPr>
          <w:trHeight w:val="288"/>
          <w:jc w:val="center"/>
        </w:trPr>
        <w:tc>
          <w:tcPr>
            <w:tcW w:w="3182" w:type="dxa"/>
            <w:gridSpan w:val="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762189A9" w14:textId="77777777" w:rsidR="00070BBB" w:rsidRPr="00070BBB" w:rsidRDefault="00070BBB" w:rsidP="00072099">
            <w:pPr>
              <w:jc w:val="center"/>
              <w:rPr>
                <w:rFonts w:cstheme="majorHAnsi"/>
                <w:b/>
                <w:bCs/>
                <w:color w:val="000000"/>
                <w:lang w:val="es-ES" w:eastAsia="es-ES"/>
              </w:rPr>
            </w:pPr>
            <w:r w:rsidRPr="00070BBB">
              <w:rPr>
                <w:rFonts w:cstheme="majorHAnsi"/>
                <w:b/>
                <w:bCs/>
                <w:color w:val="000000"/>
                <w:lang w:val="es-ES" w:eastAsia="es-ES"/>
              </w:rPr>
              <w:t>CEDULA CATASTRAL</w:t>
            </w:r>
          </w:p>
        </w:tc>
        <w:tc>
          <w:tcPr>
            <w:tcW w:w="3398" w:type="dxa"/>
            <w:tcBorders>
              <w:top w:val="nil"/>
              <w:left w:val="nil"/>
              <w:bottom w:val="single" w:sz="4" w:space="0" w:color="auto"/>
              <w:right w:val="single" w:sz="4" w:space="0" w:color="auto"/>
            </w:tcBorders>
            <w:shd w:val="clear" w:color="000000" w:fill="E7E6E6"/>
            <w:noWrap/>
            <w:vAlign w:val="bottom"/>
            <w:hideMark/>
          </w:tcPr>
          <w:p w14:paraId="7FAB11ED" w14:textId="77777777" w:rsidR="00070BBB" w:rsidRPr="00070BBB" w:rsidRDefault="00070BBB" w:rsidP="00072099">
            <w:pPr>
              <w:jc w:val="center"/>
              <w:rPr>
                <w:rFonts w:cstheme="majorHAnsi"/>
                <w:color w:val="000000"/>
                <w:lang w:val="es-ES" w:eastAsia="es-ES"/>
              </w:rPr>
            </w:pPr>
            <w:r w:rsidRPr="00070BBB">
              <w:rPr>
                <w:rFonts w:cstheme="majorHAnsi"/>
                <w:color w:val="000000"/>
                <w:lang w:val="es-ES" w:eastAsia="es-ES"/>
              </w:rPr>
              <w:t>25878000100050137000</w:t>
            </w:r>
          </w:p>
        </w:tc>
      </w:tr>
    </w:tbl>
    <w:p w14:paraId="6505C18C" w14:textId="77777777" w:rsidR="00070BBB" w:rsidRPr="00070BBB" w:rsidRDefault="00070BBB" w:rsidP="00070BBB">
      <w:pPr>
        <w:spacing w:after="200"/>
        <w:rPr>
          <w:rFonts w:eastAsia="Calibri" w:cstheme="majorHAnsi"/>
          <w:i/>
          <w:iCs/>
          <w:color w:val="000000" w:themeColor="text1"/>
          <w:lang w:val="es-ES_tradnl"/>
        </w:rPr>
      </w:pPr>
    </w:p>
    <w:p w14:paraId="2AD0D2EB" w14:textId="5C798414" w:rsidR="00070BBB" w:rsidRDefault="00070BBB" w:rsidP="00070BBB">
      <w:pPr>
        <w:shd w:val="clear" w:color="auto" w:fill="FFFFFF"/>
        <w:spacing w:line="276" w:lineRule="auto"/>
        <w:rPr>
          <w:rFonts w:cstheme="majorHAnsi"/>
          <w:color w:val="000000" w:themeColor="text1"/>
          <w:lang w:val="es-ES_tradnl" w:eastAsia="es-CO"/>
        </w:rPr>
      </w:pPr>
    </w:p>
    <w:p w14:paraId="3CCCD785" w14:textId="77777777" w:rsidR="00A450FF" w:rsidRPr="00070BBB" w:rsidRDefault="00A450FF" w:rsidP="00070BBB">
      <w:pPr>
        <w:shd w:val="clear" w:color="auto" w:fill="FFFFFF"/>
        <w:spacing w:line="276" w:lineRule="auto"/>
        <w:rPr>
          <w:rFonts w:cstheme="majorHAnsi"/>
          <w:color w:val="000000" w:themeColor="text1"/>
          <w:lang w:val="es-ES_tradnl" w:eastAsia="es-CO"/>
        </w:rPr>
      </w:pPr>
    </w:p>
    <w:p w14:paraId="28384EA0" w14:textId="77777777" w:rsidR="00070BBB" w:rsidRPr="00070BBB" w:rsidRDefault="00070BBB" w:rsidP="00070BBB">
      <w:pPr>
        <w:shd w:val="clear" w:color="auto" w:fill="FFFFFF"/>
        <w:spacing w:line="276" w:lineRule="auto"/>
        <w:rPr>
          <w:rFonts w:cstheme="majorHAnsi"/>
          <w:color w:val="000000" w:themeColor="text1"/>
          <w:lang w:val="es-ES_tradnl" w:eastAsia="es-CO"/>
        </w:rPr>
      </w:pPr>
    </w:p>
    <w:p w14:paraId="132D0E05" w14:textId="77777777" w:rsidR="00070BBB" w:rsidRPr="00070BBB" w:rsidRDefault="00070BBB" w:rsidP="00070BBB">
      <w:pPr>
        <w:spacing w:line="276" w:lineRule="auto"/>
        <w:ind w:left="1728"/>
        <w:rPr>
          <w:rFonts w:eastAsiaTheme="majorEastAsia" w:cstheme="majorHAnsi"/>
          <w:i/>
          <w:iCs/>
          <w:color w:val="000000" w:themeColor="text1"/>
          <w:shd w:val="clear" w:color="auto" w:fill="FFFFFF"/>
          <w:lang w:val="es-ES_tradnl"/>
        </w:rPr>
      </w:pPr>
      <w:bookmarkStart w:id="1" w:name="_Toc518665132"/>
      <w:r w:rsidRPr="00070BBB">
        <w:rPr>
          <w:rFonts w:eastAsiaTheme="majorEastAsia" w:cstheme="majorHAnsi"/>
          <w:i/>
          <w:iCs/>
          <w:color w:val="000000" w:themeColor="text1"/>
          <w:shd w:val="clear" w:color="auto" w:fill="FFFFFF"/>
          <w:lang w:val="es-ES_tradnl"/>
        </w:rPr>
        <w:lastRenderedPageBreak/>
        <w:t>Localización de Sitio de Disposición final de RCD</w:t>
      </w:r>
      <w:bookmarkEnd w:id="1"/>
    </w:p>
    <w:p w14:paraId="427F8AA4" w14:textId="77777777" w:rsidR="00070BBB" w:rsidRPr="00070BBB" w:rsidRDefault="00070BBB" w:rsidP="00070BBB">
      <w:pPr>
        <w:shd w:val="clear" w:color="auto" w:fill="FFFFFF"/>
        <w:spacing w:before="100" w:beforeAutospacing="1" w:after="100" w:afterAutospacing="1" w:line="276" w:lineRule="auto"/>
        <w:rPr>
          <w:rFonts w:cstheme="majorHAnsi"/>
          <w:color w:val="000000" w:themeColor="text1"/>
          <w:shd w:val="clear" w:color="auto" w:fill="FFFFFF"/>
          <w:lang w:val="es-ES_tradnl" w:eastAsia="es-CO"/>
        </w:rPr>
      </w:pPr>
      <w:r w:rsidRPr="00070BBB">
        <w:rPr>
          <w:rFonts w:cstheme="majorHAnsi"/>
          <w:color w:val="000000" w:themeColor="text1"/>
          <w:shd w:val="clear" w:color="auto" w:fill="FFFFFF"/>
          <w:lang w:val="es-ES_tradnl" w:eastAsia="es-CO"/>
        </w:rPr>
        <w:t xml:space="preserve">La Resolución 0472 de 2017 por medio de la cual se reglamenta la gestión integral de Residuos generados en las actividades de construcción y demolición RCD y se dictan otras disposiciones, define los Sitios de Disposición Final de RCD (anteriormente conocido como escombrera), como el lugar técnicamente seleccionado, diseñado y operado para la disposición final controlada de RCD, minimizando y controlando los impactos ambientales y utilizando principios de ingeniería, para la confinación y aislamiento de dichos residuos. </w:t>
      </w:r>
    </w:p>
    <w:p w14:paraId="31F69197" w14:textId="77777777" w:rsidR="00070BBB" w:rsidRPr="00070BBB" w:rsidRDefault="00070BBB" w:rsidP="00070BBB">
      <w:pPr>
        <w:shd w:val="clear" w:color="auto" w:fill="FFFFFF"/>
        <w:spacing w:before="100" w:beforeAutospacing="1" w:after="100" w:afterAutospacing="1" w:line="276" w:lineRule="auto"/>
        <w:rPr>
          <w:rFonts w:cstheme="majorHAnsi"/>
          <w:color w:val="000000" w:themeColor="text1"/>
          <w:shd w:val="clear" w:color="auto" w:fill="FFFFFF"/>
          <w:lang w:val="es-ES_tradnl" w:eastAsia="es-CO"/>
        </w:rPr>
      </w:pPr>
      <w:r w:rsidRPr="00070BBB">
        <w:rPr>
          <w:rFonts w:cstheme="majorHAnsi"/>
          <w:color w:val="000000" w:themeColor="text1"/>
          <w:shd w:val="clear" w:color="auto" w:fill="FFFFFF"/>
          <w:lang w:val="es-ES_tradnl" w:eastAsia="es-CO"/>
        </w:rPr>
        <w:t xml:space="preserve">En este orden de ideas y teniendo en cuenta la Resolución 0472 de 2017 en la cual se establecen los criterios y la respectiva evaluación para la identificación de sitios de disposición final de RCD, el equipo consultor realizó el análisis correspondiente aplicando cada una de las variables establecidas área total del territorio, así: </w:t>
      </w:r>
    </w:p>
    <w:p w14:paraId="5B3C29CB" w14:textId="77777777" w:rsidR="00070BBB" w:rsidRPr="00070BBB" w:rsidRDefault="00070BBB" w:rsidP="00070BBB">
      <w:pPr>
        <w:spacing w:after="200" w:line="276" w:lineRule="auto"/>
        <w:rPr>
          <w:rFonts w:cstheme="majorHAnsi"/>
          <w:i/>
          <w:iCs/>
          <w:color w:val="000000" w:themeColor="text1"/>
          <w:shd w:val="clear" w:color="auto" w:fill="FFFFFF"/>
          <w:lang w:val="es-ES_tradnl"/>
        </w:rPr>
      </w:pPr>
      <w:bookmarkStart w:id="2" w:name="_Toc518665588"/>
      <w:bookmarkStart w:id="3" w:name="_Toc518380311"/>
      <w:bookmarkStart w:id="4" w:name="_Toc60148869"/>
      <w:r w:rsidRPr="00070BBB">
        <w:rPr>
          <w:rFonts w:cstheme="majorHAnsi"/>
          <w:i/>
          <w:iCs/>
          <w:color w:val="000000" w:themeColor="text1"/>
          <w:lang w:val="es-ES_tradnl"/>
        </w:rPr>
        <w:t xml:space="preserve">Tabla </w:t>
      </w:r>
      <w:r w:rsidRPr="00070BBB">
        <w:rPr>
          <w:rFonts w:cstheme="majorHAnsi"/>
          <w:color w:val="000000" w:themeColor="text1"/>
          <w:lang w:val="es-ES_tradnl"/>
        </w:rPr>
        <w:fldChar w:fldCharType="begin"/>
      </w:r>
      <w:r w:rsidRPr="00070BBB">
        <w:rPr>
          <w:rFonts w:cstheme="majorHAnsi"/>
          <w:i/>
          <w:iCs/>
          <w:color w:val="000000" w:themeColor="text1"/>
          <w:lang w:val="es-ES_tradnl"/>
        </w:rPr>
        <w:instrText xml:space="preserve"> SEQ Tabla \* ARABIC </w:instrText>
      </w:r>
      <w:r w:rsidRPr="00070BBB">
        <w:rPr>
          <w:rFonts w:cstheme="majorHAnsi"/>
          <w:color w:val="000000" w:themeColor="text1"/>
          <w:lang w:val="es-ES_tradnl"/>
        </w:rPr>
        <w:fldChar w:fldCharType="separate"/>
      </w:r>
      <w:r w:rsidRPr="00070BBB">
        <w:rPr>
          <w:rFonts w:cstheme="majorHAnsi"/>
          <w:i/>
          <w:iCs/>
          <w:noProof/>
          <w:color w:val="000000" w:themeColor="text1"/>
          <w:lang w:val="es-ES_tradnl"/>
        </w:rPr>
        <w:t>53</w:t>
      </w:r>
      <w:r w:rsidRPr="00070BBB">
        <w:rPr>
          <w:rFonts w:cstheme="majorHAnsi"/>
          <w:color w:val="000000" w:themeColor="text1"/>
          <w:lang w:val="es-ES_tradnl"/>
        </w:rPr>
        <w:fldChar w:fldCharType="end"/>
      </w:r>
      <w:r w:rsidRPr="00070BBB">
        <w:rPr>
          <w:rFonts w:cstheme="majorHAnsi"/>
          <w:i/>
          <w:iCs/>
          <w:color w:val="000000" w:themeColor="text1"/>
          <w:lang w:val="es-ES_tradnl"/>
        </w:rPr>
        <w:t xml:space="preserve"> Criterios para la localización de sitios de disposición final de RCD</w:t>
      </w:r>
      <w:bookmarkEnd w:id="2"/>
      <w:bookmarkEnd w:id="3"/>
      <w:bookmarkEnd w:id="4"/>
    </w:p>
    <w:tbl>
      <w:tblPr>
        <w:tblStyle w:val="Tablasincuadrcula4"/>
        <w:tblW w:w="0" w:type="auto"/>
        <w:jc w:val="center"/>
        <w:tblLook w:val="04A0" w:firstRow="1" w:lastRow="0" w:firstColumn="1" w:lastColumn="0" w:noHBand="0" w:noVBand="1"/>
      </w:tblPr>
      <w:tblGrid>
        <w:gridCol w:w="4277"/>
        <w:gridCol w:w="2102"/>
      </w:tblGrid>
      <w:tr w:rsidR="00070BBB" w:rsidRPr="00070BBB" w14:paraId="096BD7C2" w14:textId="77777777" w:rsidTr="00072099">
        <w:trPr>
          <w:jc w:val="center"/>
        </w:trPr>
        <w:tc>
          <w:tcPr>
            <w:tcW w:w="4277" w:type="dxa"/>
            <w:tcBorders>
              <w:top w:val="single" w:sz="4" w:space="0" w:color="auto"/>
              <w:left w:val="single" w:sz="4" w:space="0" w:color="auto"/>
              <w:bottom w:val="single" w:sz="4" w:space="0" w:color="auto"/>
              <w:right w:val="single" w:sz="4" w:space="0" w:color="auto"/>
            </w:tcBorders>
            <w:hideMark/>
          </w:tcPr>
          <w:p w14:paraId="2E1C25B7" w14:textId="77777777" w:rsidR="00070BBB" w:rsidRPr="00070BBB" w:rsidRDefault="00070BBB" w:rsidP="00072099">
            <w:pPr>
              <w:spacing w:before="100" w:beforeAutospacing="1" w:after="100" w:afterAutospacing="1" w:line="276" w:lineRule="auto"/>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 xml:space="preserve">CRITERIOS </w:t>
            </w:r>
          </w:p>
        </w:tc>
        <w:tc>
          <w:tcPr>
            <w:tcW w:w="2102" w:type="dxa"/>
            <w:tcBorders>
              <w:top w:val="single" w:sz="4" w:space="0" w:color="auto"/>
              <w:left w:val="single" w:sz="4" w:space="0" w:color="auto"/>
              <w:bottom w:val="single" w:sz="4" w:space="0" w:color="auto"/>
              <w:right w:val="single" w:sz="4" w:space="0" w:color="auto"/>
            </w:tcBorders>
            <w:hideMark/>
          </w:tcPr>
          <w:p w14:paraId="08DFB693" w14:textId="77777777" w:rsidR="00070BBB" w:rsidRPr="00070BBB" w:rsidRDefault="00070BBB" w:rsidP="00072099">
            <w:pPr>
              <w:spacing w:before="100" w:beforeAutospacing="1" w:after="100" w:afterAutospacing="1" w:line="276" w:lineRule="auto"/>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 xml:space="preserve">PUNTAJE MÁXIMO </w:t>
            </w:r>
          </w:p>
        </w:tc>
      </w:tr>
      <w:tr w:rsidR="00070BBB" w:rsidRPr="00070BBB" w14:paraId="62B28CF4" w14:textId="77777777" w:rsidTr="00072099">
        <w:trPr>
          <w:jc w:val="center"/>
        </w:trPr>
        <w:tc>
          <w:tcPr>
            <w:tcW w:w="4277" w:type="dxa"/>
            <w:tcBorders>
              <w:top w:val="single" w:sz="4" w:space="0" w:color="auto"/>
              <w:left w:val="single" w:sz="4" w:space="0" w:color="auto"/>
              <w:bottom w:val="single" w:sz="4" w:space="0" w:color="auto"/>
              <w:right w:val="single" w:sz="4" w:space="0" w:color="auto"/>
            </w:tcBorders>
            <w:hideMark/>
          </w:tcPr>
          <w:p w14:paraId="0940E35B" w14:textId="77777777" w:rsidR="00070BBB" w:rsidRPr="00070BBB" w:rsidRDefault="00070BBB" w:rsidP="00072099">
            <w:pPr>
              <w:spacing w:before="100" w:beforeAutospacing="1" w:after="100" w:afterAutospacing="1" w:line="276" w:lineRule="auto"/>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Oferta Ambiental</w:t>
            </w:r>
          </w:p>
        </w:tc>
        <w:tc>
          <w:tcPr>
            <w:tcW w:w="2102" w:type="dxa"/>
            <w:tcBorders>
              <w:top w:val="single" w:sz="4" w:space="0" w:color="auto"/>
              <w:left w:val="single" w:sz="4" w:space="0" w:color="auto"/>
              <w:bottom w:val="single" w:sz="4" w:space="0" w:color="auto"/>
              <w:right w:val="single" w:sz="4" w:space="0" w:color="auto"/>
            </w:tcBorders>
            <w:hideMark/>
          </w:tcPr>
          <w:p w14:paraId="195EBE2D" w14:textId="77777777" w:rsidR="00070BBB" w:rsidRPr="00070BBB" w:rsidRDefault="00070BBB" w:rsidP="00072099">
            <w:pPr>
              <w:spacing w:before="100" w:beforeAutospacing="1" w:after="100" w:afterAutospacing="1" w:line="276" w:lineRule="auto"/>
              <w:jc w:val="center"/>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10</w:t>
            </w:r>
          </w:p>
        </w:tc>
      </w:tr>
      <w:tr w:rsidR="00070BBB" w:rsidRPr="00070BBB" w14:paraId="7A3FC3F9" w14:textId="77777777" w:rsidTr="00072099">
        <w:trPr>
          <w:jc w:val="center"/>
        </w:trPr>
        <w:tc>
          <w:tcPr>
            <w:tcW w:w="4277" w:type="dxa"/>
            <w:tcBorders>
              <w:top w:val="single" w:sz="4" w:space="0" w:color="auto"/>
              <w:left w:val="single" w:sz="4" w:space="0" w:color="auto"/>
              <w:bottom w:val="single" w:sz="4" w:space="0" w:color="auto"/>
              <w:right w:val="single" w:sz="4" w:space="0" w:color="auto"/>
            </w:tcBorders>
            <w:hideMark/>
          </w:tcPr>
          <w:p w14:paraId="76D646DA" w14:textId="77777777" w:rsidR="00070BBB" w:rsidRPr="00070BBB" w:rsidRDefault="00070BBB" w:rsidP="00072099">
            <w:pPr>
              <w:spacing w:before="100" w:beforeAutospacing="1" w:after="100" w:afterAutospacing="1" w:line="276" w:lineRule="auto"/>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Degradación del suelo</w:t>
            </w:r>
          </w:p>
        </w:tc>
        <w:tc>
          <w:tcPr>
            <w:tcW w:w="2102" w:type="dxa"/>
            <w:tcBorders>
              <w:top w:val="single" w:sz="4" w:space="0" w:color="auto"/>
              <w:left w:val="single" w:sz="4" w:space="0" w:color="auto"/>
              <w:bottom w:val="single" w:sz="4" w:space="0" w:color="auto"/>
              <w:right w:val="single" w:sz="4" w:space="0" w:color="auto"/>
            </w:tcBorders>
            <w:hideMark/>
          </w:tcPr>
          <w:p w14:paraId="15690DB6" w14:textId="77777777" w:rsidR="00070BBB" w:rsidRPr="00070BBB" w:rsidRDefault="00070BBB" w:rsidP="00072099">
            <w:pPr>
              <w:spacing w:before="100" w:beforeAutospacing="1" w:after="100" w:afterAutospacing="1" w:line="276" w:lineRule="auto"/>
              <w:jc w:val="center"/>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10</w:t>
            </w:r>
          </w:p>
        </w:tc>
      </w:tr>
      <w:tr w:rsidR="00070BBB" w:rsidRPr="00070BBB" w14:paraId="4D68E76D" w14:textId="77777777" w:rsidTr="00072099">
        <w:trPr>
          <w:jc w:val="center"/>
        </w:trPr>
        <w:tc>
          <w:tcPr>
            <w:tcW w:w="4277" w:type="dxa"/>
            <w:tcBorders>
              <w:top w:val="single" w:sz="4" w:space="0" w:color="auto"/>
              <w:left w:val="single" w:sz="4" w:space="0" w:color="auto"/>
              <w:bottom w:val="single" w:sz="4" w:space="0" w:color="auto"/>
              <w:right w:val="single" w:sz="4" w:space="0" w:color="auto"/>
            </w:tcBorders>
            <w:hideMark/>
          </w:tcPr>
          <w:p w14:paraId="7B4E24E2" w14:textId="77777777" w:rsidR="00070BBB" w:rsidRPr="00070BBB" w:rsidRDefault="00070BBB" w:rsidP="00072099">
            <w:pPr>
              <w:spacing w:before="100" w:beforeAutospacing="1" w:after="100" w:afterAutospacing="1" w:line="276" w:lineRule="auto"/>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 xml:space="preserve">Distancia a los cuerpos hídricos superficiales </w:t>
            </w:r>
          </w:p>
        </w:tc>
        <w:tc>
          <w:tcPr>
            <w:tcW w:w="2102" w:type="dxa"/>
            <w:tcBorders>
              <w:top w:val="single" w:sz="4" w:space="0" w:color="auto"/>
              <w:left w:val="single" w:sz="4" w:space="0" w:color="auto"/>
              <w:bottom w:val="single" w:sz="4" w:space="0" w:color="auto"/>
              <w:right w:val="single" w:sz="4" w:space="0" w:color="auto"/>
            </w:tcBorders>
            <w:hideMark/>
          </w:tcPr>
          <w:p w14:paraId="7FE9F4FF" w14:textId="77777777" w:rsidR="00070BBB" w:rsidRPr="00070BBB" w:rsidRDefault="00070BBB" w:rsidP="00072099">
            <w:pPr>
              <w:spacing w:before="100" w:beforeAutospacing="1" w:after="100" w:afterAutospacing="1" w:line="276" w:lineRule="auto"/>
              <w:jc w:val="center"/>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10</w:t>
            </w:r>
          </w:p>
        </w:tc>
      </w:tr>
      <w:tr w:rsidR="00070BBB" w:rsidRPr="00070BBB" w14:paraId="4FC185C1" w14:textId="77777777" w:rsidTr="00072099">
        <w:trPr>
          <w:jc w:val="center"/>
        </w:trPr>
        <w:tc>
          <w:tcPr>
            <w:tcW w:w="4277" w:type="dxa"/>
            <w:tcBorders>
              <w:top w:val="single" w:sz="4" w:space="0" w:color="auto"/>
              <w:left w:val="single" w:sz="4" w:space="0" w:color="auto"/>
              <w:bottom w:val="single" w:sz="4" w:space="0" w:color="auto"/>
              <w:right w:val="single" w:sz="4" w:space="0" w:color="auto"/>
            </w:tcBorders>
            <w:hideMark/>
          </w:tcPr>
          <w:p w14:paraId="4C832620" w14:textId="77777777" w:rsidR="00070BBB" w:rsidRPr="00070BBB" w:rsidRDefault="00070BBB" w:rsidP="00072099">
            <w:pPr>
              <w:spacing w:before="100" w:beforeAutospacing="1" w:after="100" w:afterAutospacing="1" w:line="276" w:lineRule="auto"/>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Capacidad</w:t>
            </w:r>
          </w:p>
        </w:tc>
        <w:tc>
          <w:tcPr>
            <w:tcW w:w="2102" w:type="dxa"/>
            <w:tcBorders>
              <w:top w:val="single" w:sz="4" w:space="0" w:color="auto"/>
              <w:left w:val="single" w:sz="4" w:space="0" w:color="auto"/>
              <w:bottom w:val="single" w:sz="4" w:space="0" w:color="auto"/>
              <w:right w:val="single" w:sz="4" w:space="0" w:color="auto"/>
            </w:tcBorders>
            <w:hideMark/>
          </w:tcPr>
          <w:p w14:paraId="5E5A782F" w14:textId="77777777" w:rsidR="00070BBB" w:rsidRPr="00070BBB" w:rsidRDefault="00070BBB" w:rsidP="00072099">
            <w:pPr>
              <w:spacing w:before="100" w:beforeAutospacing="1" w:after="100" w:afterAutospacing="1" w:line="276" w:lineRule="auto"/>
              <w:jc w:val="center"/>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10</w:t>
            </w:r>
          </w:p>
        </w:tc>
      </w:tr>
      <w:tr w:rsidR="00070BBB" w:rsidRPr="00070BBB" w14:paraId="0096741A" w14:textId="77777777" w:rsidTr="00072099">
        <w:trPr>
          <w:jc w:val="center"/>
        </w:trPr>
        <w:tc>
          <w:tcPr>
            <w:tcW w:w="4277" w:type="dxa"/>
            <w:tcBorders>
              <w:top w:val="single" w:sz="4" w:space="0" w:color="auto"/>
              <w:left w:val="single" w:sz="4" w:space="0" w:color="auto"/>
              <w:bottom w:val="single" w:sz="4" w:space="0" w:color="auto"/>
              <w:right w:val="single" w:sz="4" w:space="0" w:color="auto"/>
            </w:tcBorders>
            <w:hideMark/>
          </w:tcPr>
          <w:p w14:paraId="4E351F6B" w14:textId="77777777" w:rsidR="00070BBB" w:rsidRPr="00070BBB" w:rsidRDefault="00070BBB" w:rsidP="00072099">
            <w:pPr>
              <w:spacing w:before="100" w:beforeAutospacing="1" w:after="100" w:afterAutospacing="1" w:line="276" w:lineRule="auto"/>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Características Geomorfológicas</w:t>
            </w:r>
          </w:p>
        </w:tc>
        <w:tc>
          <w:tcPr>
            <w:tcW w:w="2102" w:type="dxa"/>
            <w:tcBorders>
              <w:top w:val="single" w:sz="4" w:space="0" w:color="auto"/>
              <w:left w:val="single" w:sz="4" w:space="0" w:color="auto"/>
              <w:bottom w:val="single" w:sz="4" w:space="0" w:color="auto"/>
              <w:right w:val="single" w:sz="4" w:space="0" w:color="auto"/>
            </w:tcBorders>
            <w:hideMark/>
          </w:tcPr>
          <w:p w14:paraId="670331B2" w14:textId="77777777" w:rsidR="00070BBB" w:rsidRPr="00070BBB" w:rsidRDefault="00070BBB" w:rsidP="00072099">
            <w:pPr>
              <w:spacing w:before="100" w:beforeAutospacing="1" w:after="100" w:afterAutospacing="1" w:line="276" w:lineRule="auto"/>
              <w:jc w:val="center"/>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6</w:t>
            </w:r>
          </w:p>
        </w:tc>
      </w:tr>
      <w:tr w:rsidR="00070BBB" w:rsidRPr="00070BBB" w14:paraId="4458F8D3" w14:textId="77777777" w:rsidTr="00072099">
        <w:trPr>
          <w:jc w:val="center"/>
        </w:trPr>
        <w:tc>
          <w:tcPr>
            <w:tcW w:w="4277" w:type="dxa"/>
            <w:tcBorders>
              <w:top w:val="single" w:sz="4" w:space="0" w:color="auto"/>
              <w:left w:val="single" w:sz="4" w:space="0" w:color="auto"/>
              <w:bottom w:val="single" w:sz="4" w:space="0" w:color="auto"/>
              <w:right w:val="single" w:sz="4" w:space="0" w:color="auto"/>
            </w:tcBorders>
            <w:hideMark/>
          </w:tcPr>
          <w:p w14:paraId="26F0B548" w14:textId="77777777" w:rsidR="00070BBB" w:rsidRPr="00070BBB" w:rsidRDefault="00070BBB" w:rsidP="00072099">
            <w:pPr>
              <w:spacing w:before="100" w:beforeAutospacing="1" w:after="100" w:afterAutospacing="1" w:line="276" w:lineRule="auto"/>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 xml:space="preserve">Distancia del centroide de generación </w:t>
            </w:r>
          </w:p>
        </w:tc>
        <w:tc>
          <w:tcPr>
            <w:tcW w:w="2102" w:type="dxa"/>
            <w:tcBorders>
              <w:top w:val="single" w:sz="4" w:space="0" w:color="auto"/>
              <w:left w:val="single" w:sz="4" w:space="0" w:color="auto"/>
              <w:bottom w:val="single" w:sz="4" w:space="0" w:color="auto"/>
              <w:right w:val="single" w:sz="4" w:space="0" w:color="auto"/>
            </w:tcBorders>
            <w:hideMark/>
          </w:tcPr>
          <w:p w14:paraId="7B674898" w14:textId="77777777" w:rsidR="00070BBB" w:rsidRPr="00070BBB" w:rsidRDefault="00070BBB" w:rsidP="00072099">
            <w:pPr>
              <w:spacing w:before="100" w:beforeAutospacing="1" w:after="100" w:afterAutospacing="1" w:line="276" w:lineRule="auto"/>
              <w:jc w:val="center"/>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4</w:t>
            </w:r>
          </w:p>
        </w:tc>
      </w:tr>
      <w:tr w:rsidR="00070BBB" w:rsidRPr="00070BBB" w14:paraId="104D38FF" w14:textId="77777777" w:rsidTr="00072099">
        <w:trPr>
          <w:jc w:val="center"/>
        </w:trPr>
        <w:tc>
          <w:tcPr>
            <w:tcW w:w="4277" w:type="dxa"/>
            <w:tcBorders>
              <w:top w:val="single" w:sz="4" w:space="0" w:color="auto"/>
              <w:left w:val="single" w:sz="4" w:space="0" w:color="auto"/>
              <w:bottom w:val="single" w:sz="4" w:space="0" w:color="auto"/>
              <w:right w:val="single" w:sz="4" w:space="0" w:color="auto"/>
            </w:tcBorders>
            <w:hideMark/>
          </w:tcPr>
          <w:p w14:paraId="244E93CA" w14:textId="77777777" w:rsidR="00070BBB" w:rsidRPr="00070BBB" w:rsidRDefault="00070BBB" w:rsidP="00072099">
            <w:pPr>
              <w:spacing w:before="100" w:beforeAutospacing="1" w:after="100" w:afterAutospacing="1" w:line="276" w:lineRule="auto"/>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 xml:space="preserve">Disponibilidad de vías de acceso </w:t>
            </w:r>
          </w:p>
        </w:tc>
        <w:tc>
          <w:tcPr>
            <w:tcW w:w="2102" w:type="dxa"/>
            <w:tcBorders>
              <w:top w:val="single" w:sz="4" w:space="0" w:color="auto"/>
              <w:left w:val="single" w:sz="4" w:space="0" w:color="auto"/>
              <w:bottom w:val="single" w:sz="4" w:space="0" w:color="auto"/>
              <w:right w:val="single" w:sz="4" w:space="0" w:color="auto"/>
            </w:tcBorders>
            <w:hideMark/>
          </w:tcPr>
          <w:p w14:paraId="75887DC1" w14:textId="77777777" w:rsidR="00070BBB" w:rsidRPr="00070BBB" w:rsidRDefault="00070BBB" w:rsidP="00072099">
            <w:pPr>
              <w:spacing w:before="100" w:beforeAutospacing="1" w:after="100" w:afterAutospacing="1" w:line="276" w:lineRule="auto"/>
              <w:jc w:val="center"/>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6</w:t>
            </w:r>
          </w:p>
        </w:tc>
      </w:tr>
      <w:tr w:rsidR="00070BBB" w:rsidRPr="00070BBB" w14:paraId="3FB22B6D" w14:textId="77777777" w:rsidTr="00072099">
        <w:trPr>
          <w:jc w:val="center"/>
        </w:trPr>
        <w:tc>
          <w:tcPr>
            <w:tcW w:w="4277" w:type="dxa"/>
            <w:tcBorders>
              <w:top w:val="single" w:sz="4" w:space="0" w:color="auto"/>
              <w:left w:val="single" w:sz="4" w:space="0" w:color="auto"/>
              <w:bottom w:val="single" w:sz="4" w:space="0" w:color="auto"/>
              <w:right w:val="single" w:sz="4" w:space="0" w:color="auto"/>
            </w:tcBorders>
            <w:hideMark/>
          </w:tcPr>
          <w:p w14:paraId="7D90470E" w14:textId="77777777" w:rsidR="00070BBB" w:rsidRPr="00070BBB" w:rsidRDefault="00070BBB" w:rsidP="00072099">
            <w:pPr>
              <w:spacing w:before="100" w:beforeAutospacing="1" w:after="100" w:afterAutospacing="1" w:line="276" w:lineRule="auto"/>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Densidad Poblacional en el área</w:t>
            </w:r>
          </w:p>
        </w:tc>
        <w:tc>
          <w:tcPr>
            <w:tcW w:w="2102" w:type="dxa"/>
            <w:tcBorders>
              <w:top w:val="single" w:sz="4" w:space="0" w:color="auto"/>
              <w:left w:val="single" w:sz="4" w:space="0" w:color="auto"/>
              <w:bottom w:val="single" w:sz="4" w:space="0" w:color="auto"/>
              <w:right w:val="single" w:sz="4" w:space="0" w:color="auto"/>
            </w:tcBorders>
            <w:hideMark/>
          </w:tcPr>
          <w:p w14:paraId="2302DBAC" w14:textId="77777777" w:rsidR="00070BBB" w:rsidRPr="00070BBB" w:rsidRDefault="00070BBB" w:rsidP="00072099">
            <w:pPr>
              <w:spacing w:before="100" w:beforeAutospacing="1" w:after="100" w:afterAutospacing="1" w:line="276" w:lineRule="auto"/>
              <w:jc w:val="center"/>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4</w:t>
            </w:r>
          </w:p>
        </w:tc>
      </w:tr>
      <w:tr w:rsidR="00070BBB" w:rsidRPr="00070BBB" w14:paraId="0389B5AE" w14:textId="77777777" w:rsidTr="00072099">
        <w:trPr>
          <w:jc w:val="center"/>
        </w:trPr>
        <w:tc>
          <w:tcPr>
            <w:tcW w:w="4277" w:type="dxa"/>
            <w:tcBorders>
              <w:top w:val="single" w:sz="4" w:space="0" w:color="auto"/>
              <w:left w:val="single" w:sz="4" w:space="0" w:color="auto"/>
              <w:bottom w:val="single" w:sz="4" w:space="0" w:color="auto"/>
              <w:right w:val="single" w:sz="4" w:space="0" w:color="auto"/>
            </w:tcBorders>
            <w:hideMark/>
          </w:tcPr>
          <w:p w14:paraId="3138DB8D" w14:textId="77777777" w:rsidR="00070BBB" w:rsidRPr="00070BBB" w:rsidRDefault="00070BBB" w:rsidP="00072099">
            <w:pPr>
              <w:spacing w:before="100" w:beforeAutospacing="1" w:after="100" w:afterAutospacing="1" w:line="276" w:lineRule="auto"/>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 xml:space="preserve">Uso del suelo </w:t>
            </w:r>
          </w:p>
        </w:tc>
        <w:tc>
          <w:tcPr>
            <w:tcW w:w="2102" w:type="dxa"/>
            <w:tcBorders>
              <w:top w:val="single" w:sz="4" w:space="0" w:color="auto"/>
              <w:left w:val="single" w:sz="4" w:space="0" w:color="auto"/>
              <w:bottom w:val="single" w:sz="4" w:space="0" w:color="auto"/>
              <w:right w:val="single" w:sz="4" w:space="0" w:color="auto"/>
            </w:tcBorders>
            <w:hideMark/>
          </w:tcPr>
          <w:p w14:paraId="6D4B79BA" w14:textId="77777777" w:rsidR="00070BBB" w:rsidRPr="00070BBB" w:rsidRDefault="00070BBB" w:rsidP="00072099">
            <w:pPr>
              <w:spacing w:before="100" w:beforeAutospacing="1" w:after="100" w:afterAutospacing="1" w:line="276" w:lineRule="auto"/>
              <w:jc w:val="center"/>
              <w:rPr>
                <w:rFonts w:cstheme="majorHAnsi"/>
                <w:color w:val="000000" w:themeColor="text1"/>
                <w:sz w:val="24"/>
                <w:szCs w:val="24"/>
                <w:shd w:val="clear" w:color="auto" w:fill="FFFFFF"/>
                <w:lang w:val="es-ES_tradnl" w:eastAsia="es-CO"/>
              </w:rPr>
            </w:pPr>
            <w:r w:rsidRPr="00070BBB">
              <w:rPr>
                <w:rFonts w:cstheme="majorHAnsi"/>
                <w:color w:val="000000" w:themeColor="text1"/>
                <w:sz w:val="24"/>
                <w:szCs w:val="24"/>
                <w:shd w:val="clear" w:color="auto" w:fill="FFFFFF"/>
                <w:lang w:val="es-ES_tradnl" w:eastAsia="es-CO"/>
              </w:rPr>
              <w:t>10</w:t>
            </w:r>
          </w:p>
        </w:tc>
      </w:tr>
    </w:tbl>
    <w:p w14:paraId="550B9745" w14:textId="77777777" w:rsidR="00070BBB" w:rsidRPr="00070BBB" w:rsidRDefault="00070BBB" w:rsidP="00070BBB">
      <w:pPr>
        <w:shd w:val="clear" w:color="auto" w:fill="FFFFFF"/>
        <w:spacing w:before="100" w:beforeAutospacing="1" w:after="100" w:afterAutospacing="1" w:line="276" w:lineRule="auto"/>
        <w:jc w:val="center"/>
        <w:rPr>
          <w:rFonts w:cstheme="majorHAnsi"/>
          <w:i/>
          <w:color w:val="000000" w:themeColor="text1"/>
          <w:shd w:val="clear" w:color="auto" w:fill="FFFFFF"/>
          <w:lang w:val="es-ES_tradnl" w:eastAsia="es-CO"/>
        </w:rPr>
      </w:pPr>
      <w:r w:rsidRPr="00070BBB">
        <w:rPr>
          <w:rFonts w:cstheme="majorHAnsi"/>
          <w:i/>
          <w:color w:val="000000" w:themeColor="text1"/>
          <w:shd w:val="clear" w:color="auto" w:fill="FFFFFF"/>
          <w:lang w:val="es-ES_tradnl" w:eastAsia="es-CO"/>
        </w:rPr>
        <w:t>Fuente: MADS, 2017</w:t>
      </w:r>
    </w:p>
    <w:p w14:paraId="224F2DA4" w14:textId="4CE23866" w:rsidR="00070BBB" w:rsidRPr="00070BBB" w:rsidRDefault="00070BBB" w:rsidP="00070BBB">
      <w:pPr>
        <w:shd w:val="clear" w:color="auto" w:fill="FFFFFF"/>
        <w:spacing w:before="100" w:beforeAutospacing="1" w:after="100" w:afterAutospacing="1" w:line="276" w:lineRule="auto"/>
        <w:rPr>
          <w:rFonts w:cstheme="majorHAnsi"/>
          <w:color w:val="000000" w:themeColor="text1"/>
          <w:shd w:val="clear" w:color="auto" w:fill="FFFFFF"/>
          <w:lang w:val="es-ES_tradnl" w:eastAsia="es-CO"/>
        </w:rPr>
      </w:pPr>
      <w:r w:rsidRPr="00070BBB">
        <w:rPr>
          <w:rFonts w:cstheme="majorHAnsi"/>
          <w:color w:val="000000" w:themeColor="text1"/>
          <w:shd w:val="clear" w:color="auto" w:fill="FFFFFF"/>
          <w:lang w:val="es-ES_tradnl" w:eastAsia="es-CO"/>
        </w:rPr>
        <w:t xml:space="preserve">Finalmente y teniendo en cuenta que se identificaron aproximadamente 60 polígonos potenciales para la localización del Sitio Final de Disposición de RCD se llevó a cabo una reclasificación de éstos mismos, aplicando nuevamente variables como, Distancia, Tamaño y afectación por rondas hídricas y/u otro elemento que haga parte de la EEP, obteniendo como resultado los predios identificados con cédulas catastrales </w:t>
      </w:r>
      <w:bookmarkStart w:id="5" w:name="_Hlk57033531"/>
      <w:r w:rsidRPr="00070BBB">
        <w:rPr>
          <w:rFonts w:cstheme="majorHAnsi"/>
          <w:color w:val="000000" w:themeColor="text1"/>
          <w:shd w:val="clear" w:color="auto" w:fill="FFFFFF"/>
          <w:lang w:val="es-ES_tradnl" w:eastAsia="es-CO"/>
        </w:rPr>
        <w:t>258780002000000110006000000000 y 258780002000000090033000000000</w:t>
      </w:r>
      <w:bookmarkEnd w:id="5"/>
      <w:r w:rsidRPr="00070BBB">
        <w:rPr>
          <w:rFonts w:cstheme="majorHAnsi"/>
          <w:color w:val="000000" w:themeColor="text1"/>
          <w:shd w:val="clear" w:color="auto" w:fill="FFFFFF"/>
          <w:lang w:val="es-ES_tradnl" w:eastAsia="es-CO"/>
        </w:rPr>
        <w:t xml:space="preserve">, como se muestra en la siguiente imagen: </w:t>
      </w:r>
    </w:p>
    <w:p w14:paraId="422F1EDD" w14:textId="77777777" w:rsidR="00070BBB" w:rsidRPr="00070BBB" w:rsidRDefault="00070BBB" w:rsidP="00070BBB">
      <w:pPr>
        <w:pStyle w:val="Descripcin"/>
        <w:rPr>
          <w:rFonts w:asciiTheme="majorHAnsi" w:hAnsiTheme="majorHAnsi" w:cstheme="majorHAnsi"/>
          <w:color w:val="000000" w:themeColor="text1"/>
          <w:sz w:val="24"/>
          <w:szCs w:val="24"/>
          <w:lang w:val="es-ES_tradnl"/>
        </w:rPr>
      </w:pPr>
      <w:bookmarkStart w:id="6" w:name="_Toc60148796"/>
      <w:r w:rsidRPr="00070BBB">
        <w:rPr>
          <w:rFonts w:asciiTheme="majorHAnsi" w:hAnsiTheme="majorHAnsi" w:cstheme="majorHAnsi"/>
          <w:color w:val="000000" w:themeColor="text1"/>
          <w:sz w:val="24"/>
          <w:szCs w:val="24"/>
          <w:lang w:val="es-ES_tradnl"/>
        </w:rPr>
        <w:lastRenderedPageBreak/>
        <w:t xml:space="preserve">Imagen </w:t>
      </w:r>
      <w:r w:rsidRPr="00070BBB">
        <w:rPr>
          <w:rFonts w:asciiTheme="majorHAnsi" w:hAnsiTheme="majorHAnsi" w:cstheme="majorHAnsi"/>
          <w:color w:val="000000" w:themeColor="text1"/>
          <w:sz w:val="24"/>
          <w:szCs w:val="24"/>
          <w:lang w:val="es-ES_tradnl"/>
        </w:rPr>
        <w:fldChar w:fldCharType="begin"/>
      </w:r>
      <w:r w:rsidRPr="00070BBB">
        <w:rPr>
          <w:rFonts w:asciiTheme="majorHAnsi" w:hAnsiTheme="majorHAnsi" w:cstheme="majorHAnsi"/>
          <w:color w:val="000000" w:themeColor="text1"/>
          <w:sz w:val="24"/>
          <w:szCs w:val="24"/>
          <w:lang w:val="es-ES_tradnl"/>
        </w:rPr>
        <w:instrText xml:space="preserve"> SEQ imagen \* ARABIC </w:instrText>
      </w:r>
      <w:r w:rsidRPr="00070BBB">
        <w:rPr>
          <w:rFonts w:asciiTheme="majorHAnsi" w:hAnsiTheme="majorHAnsi" w:cstheme="majorHAnsi"/>
          <w:color w:val="000000" w:themeColor="text1"/>
          <w:sz w:val="24"/>
          <w:szCs w:val="24"/>
          <w:lang w:val="es-ES_tradnl"/>
        </w:rPr>
        <w:fldChar w:fldCharType="separate"/>
      </w:r>
      <w:r w:rsidRPr="00070BBB">
        <w:rPr>
          <w:rFonts w:asciiTheme="majorHAnsi" w:hAnsiTheme="majorHAnsi" w:cstheme="majorHAnsi"/>
          <w:noProof/>
          <w:color w:val="000000" w:themeColor="text1"/>
          <w:sz w:val="24"/>
          <w:szCs w:val="24"/>
          <w:lang w:val="es-ES_tradnl"/>
        </w:rPr>
        <w:t>75</w:t>
      </w:r>
      <w:r w:rsidRPr="00070BBB">
        <w:rPr>
          <w:rFonts w:asciiTheme="majorHAnsi" w:hAnsiTheme="majorHAnsi" w:cstheme="majorHAnsi"/>
          <w:color w:val="000000" w:themeColor="text1"/>
          <w:sz w:val="24"/>
          <w:szCs w:val="24"/>
          <w:lang w:val="es-ES_tradnl"/>
        </w:rPr>
        <w:fldChar w:fldCharType="end"/>
      </w:r>
      <w:r w:rsidRPr="00070BBB">
        <w:rPr>
          <w:rFonts w:asciiTheme="majorHAnsi" w:hAnsiTheme="majorHAnsi" w:cstheme="majorHAnsi"/>
          <w:color w:val="000000" w:themeColor="text1"/>
          <w:sz w:val="24"/>
          <w:szCs w:val="24"/>
          <w:lang w:val="es-ES_tradnl"/>
        </w:rPr>
        <w:t xml:space="preserve"> Predios potenciales para la localización del Sitio de Disposición final de RCD en el Municipio de Viotá</w:t>
      </w:r>
      <w:bookmarkEnd w:id="6"/>
    </w:p>
    <w:p w14:paraId="24BFCCAB" w14:textId="77777777" w:rsidR="00070BBB" w:rsidRPr="00070BBB" w:rsidRDefault="00070BBB" w:rsidP="00070BBB">
      <w:pPr>
        <w:rPr>
          <w:rFonts w:cstheme="majorHAnsi"/>
          <w:color w:val="000000" w:themeColor="text1"/>
          <w:lang w:val="es-ES_tradnl"/>
        </w:rPr>
      </w:pPr>
      <w:r w:rsidRPr="00070BBB">
        <w:rPr>
          <w:rFonts w:cstheme="majorHAnsi"/>
          <w:noProof/>
          <w:color w:val="000000" w:themeColor="text1"/>
          <w:lang w:val="es-ES_tradnl" w:eastAsia="es-CO"/>
        </w:rPr>
        <w:drawing>
          <wp:inline distT="0" distB="0" distL="0" distR="0" wp14:anchorId="0386D4A2" wp14:editId="6697F70F">
            <wp:extent cx="5612130" cy="4336646"/>
            <wp:effectExtent l="0" t="0" r="7620" b="6985"/>
            <wp:docPr id="18" name="Imagen 18" descr="C:\Users\Lina\Downloads\Predios para uso de Escombr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na\Downloads\Predios para uso de Escombrer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4336646"/>
                    </a:xfrm>
                    <a:prstGeom prst="rect">
                      <a:avLst/>
                    </a:prstGeom>
                    <a:noFill/>
                    <a:ln>
                      <a:noFill/>
                    </a:ln>
                  </pic:spPr>
                </pic:pic>
              </a:graphicData>
            </a:graphic>
          </wp:inline>
        </w:drawing>
      </w:r>
    </w:p>
    <w:p w14:paraId="6D1B816D" w14:textId="77777777" w:rsidR="00070BBB" w:rsidRPr="00070BBB" w:rsidRDefault="00070BBB" w:rsidP="00070BBB">
      <w:pPr>
        <w:jc w:val="center"/>
        <w:rPr>
          <w:rFonts w:cstheme="majorHAnsi"/>
          <w:i/>
          <w:color w:val="000000" w:themeColor="text1"/>
          <w:lang w:val="es-ES_tradnl"/>
        </w:rPr>
      </w:pPr>
      <w:r w:rsidRPr="00070BBB">
        <w:rPr>
          <w:rFonts w:cstheme="majorHAnsi"/>
          <w:i/>
          <w:color w:val="000000" w:themeColor="text1"/>
          <w:lang w:val="es-ES_tradnl"/>
        </w:rPr>
        <w:t>Fuente: Equipo consultor, 2018</w:t>
      </w:r>
    </w:p>
    <w:p w14:paraId="53413379" w14:textId="77777777" w:rsidR="00070BBB" w:rsidRPr="00070BBB" w:rsidRDefault="00070BBB" w:rsidP="00070BBB">
      <w:pPr>
        <w:shd w:val="clear" w:color="auto" w:fill="FFFFFF"/>
        <w:spacing w:before="100" w:beforeAutospacing="1" w:after="100" w:afterAutospacing="1" w:line="276" w:lineRule="auto"/>
        <w:rPr>
          <w:rFonts w:cstheme="majorHAnsi"/>
          <w:color w:val="000000" w:themeColor="text1"/>
          <w:shd w:val="clear" w:color="auto" w:fill="FFFFFF"/>
          <w:lang w:val="es-ES_tradnl" w:eastAsia="es-CO"/>
        </w:rPr>
      </w:pPr>
      <w:bookmarkStart w:id="7" w:name="_Hlk57033800"/>
      <w:r w:rsidRPr="00070BBB">
        <w:rPr>
          <w:rFonts w:cstheme="majorHAnsi"/>
          <w:color w:val="000000" w:themeColor="text1"/>
          <w:shd w:val="clear" w:color="auto" w:fill="FFFFFF"/>
          <w:lang w:val="es-ES_tradnl" w:eastAsia="es-CO"/>
        </w:rPr>
        <w:t>Las actividades y recursos financieros definidos en cualquier proyecto de expansión a desarrollarse y que requieran manejo de residuos sólidos, deberán estar acordes con lo formulado en el PGIRS del municipio.</w:t>
      </w:r>
    </w:p>
    <w:bookmarkEnd w:id="7"/>
    <w:p w14:paraId="076092FC" w14:textId="77777777" w:rsidR="00070BBB" w:rsidRPr="00070BBB" w:rsidRDefault="00070BBB" w:rsidP="00070BBB">
      <w:pPr>
        <w:shd w:val="clear" w:color="auto" w:fill="FFFFFF"/>
        <w:spacing w:before="100" w:beforeAutospacing="1" w:after="100" w:afterAutospacing="1" w:line="276" w:lineRule="auto"/>
        <w:rPr>
          <w:rFonts w:cstheme="majorHAnsi"/>
          <w:color w:val="000000" w:themeColor="text1"/>
          <w:shd w:val="clear" w:color="auto" w:fill="FFFFFF"/>
          <w:lang w:val="es-ES_tradnl" w:eastAsia="es-CO"/>
        </w:rPr>
      </w:pPr>
      <w:r w:rsidRPr="00070BBB">
        <w:rPr>
          <w:rFonts w:cstheme="majorHAnsi"/>
          <w:color w:val="000000" w:themeColor="text1"/>
          <w:shd w:val="clear" w:color="auto" w:fill="FFFFFF"/>
          <w:lang w:val="es-ES_tradnl" w:eastAsia="es-CO"/>
        </w:rPr>
        <w:t xml:space="preserve">En concordancia con la misma Resolución 472 de 2017 el Municipio deberá tener en cuenta las siguientes medidas mínimas de manejo ambiental de sitios de disposición final de RCD: </w:t>
      </w:r>
    </w:p>
    <w:p w14:paraId="1EF381D9" w14:textId="77777777" w:rsidR="00070BBB" w:rsidRPr="00070BBB" w:rsidRDefault="00070BBB" w:rsidP="00070BBB">
      <w:pPr>
        <w:numPr>
          <w:ilvl w:val="0"/>
          <w:numId w:val="42"/>
        </w:numPr>
        <w:shd w:val="clear" w:color="auto" w:fill="FFFFFF"/>
        <w:spacing w:before="100" w:beforeAutospacing="1" w:after="100" w:afterAutospacing="1" w:line="276" w:lineRule="auto"/>
        <w:rPr>
          <w:rFonts w:cstheme="majorHAnsi"/>
          <w:color w:val="000000" w:themeColor="text1"/>
          <w:shd w:val="clear" w:color="auto" w:fill="FFFFFF"/>
          <w:lang w:val="es-ES_tradnl" w:eastAsia="es-CO"/>
        </w:rPr>
      </w:pPr>
      <w:r w:rsidRPr="00070BBB">
        <w:rPr>
          <w:rFonts w:cstheme="majorHAnsi"/>
          <w:color w:val="000000" w:themeColor="text1"/>
          <w:shd w:val="clear" w:color="auto" w:fill="FFFFFF"/>
          <w:lang w:val="es-ES_tradnl" w:eastAsia="es-CO"/>
        </w:rPr>
        <w:t xml:space="preserve">Describir el flujo de los procesos realizados con los RCD </w:t>
      </w:r>
    </w:p>
    <w:p w14:paraId="7EC9336D" w14:textId="77777777" w:rsidR="00070BBB" w:rsidRPr="00070BBB" w:rsidRDefault="00070BBB" w:rsidP="00070BBB">
      <w:pPr>
        <w:numPr>
          <w:ilvl w:val="0"/>
          <w:numId w:val="42"/>
        </w:numPr>
        <w:shd w:val="clear" w:color="auto" w:fill="FFFFFF"/>
        <w:spacing w:before="100" w:beforeAutospacing="1" w:after="100" w:afterAutospacing="1" w:line="276" w:lineRule="auto"/>
        <w:rPr>
          <w:rFonts w:cstheme="majorHAnsi"/>
          <w:color w:val="000000" w:themeColor="text1"/>
          <w:shd w:val="clear" w:color="auto" w:fill="FFFFFF"/>
          <w:lang w:val="es-ES_tradnl" w:eastAsia="es-CO"/>
        </w:rPr>
      </w:pPr>
      <w:r w:rsidRPr="00070BBB">
        <w:rPr>
          <w:rFonts w:cstheme="majorHAnsi"/>
          <w:color w:val="000000" w:themeColor="text1"/>
          <w:shd w:val="clear" w:color="auto" w:fill="FFFFFF"/>
          <w:lang w:val="es-ES_tradnl" w:eastAsia="es-CO"/>
        </w:rPr>
        <w:t>Formular e implementar las acciones de control para evitar la dispersión de partículas, las obras de drenaje y de control de sedimentos.</w:t>
      </w:r>
    </w:p>
    <w:p w14:paraId="07C6D563" w14:textId="77777777" w:rsidR="00070BBB" w:rsidRPr="00070BBB" w:rsidRDefault="00070BBB" w:rsidP="00070BBB">
      <w:pPr>
        <w:numPr>
          <w:ilvl w:val="0"/>
          <w:numId w:val="42"/>
        </w:numPr>
        <w:shd w:val="clear" w:color="auto" w:fill="FFFFFF"/>
        <w:spacing w:before="100" w:beforeAutospacing="1" w:after="100" w:afterAutospacing="1" w:line="276" w:lineRule="auto"/>
        <w:rPr>
          <w:rFonts w:cstheme="majorHAnsi"/>
          <w:color w:val="000000" w:themeColor="text1"/>
          <w:shd w:val="clear" w:color="auto" w:fill="FFFFFF"/>
          <w:lang w:val="es-ES_tradnl" w:eastAsia="es-CO"/>
        </w:rPr>
      </w:pPr>
      <w:r w:rsidRPr="00070BBB">
        <w:rPr>
          <w:rFonts w:cstheme="majorHAnsi"/>
          <w:color w:val="000000" w:themeColor="text1"/>
          <w:shd w:val="clear" w:color="auto" w:fill="FFFFFF"/>
          <w:lang w:val="es-ES_tradnl" w:eastAsia="es-CO"/>
        </w:rPr>
        <w:t xml:space="preserve">Definir las medidas para garantizar la estabilidad geotécnica del sitio </w:t>
      </w:r>
    </w:p>
    <w:p w14:paraId="71F4E2F2" w14:textId="77777777" w:rsidR="00070BBB" w:rsidRPr="00070BBB" w:rsidRDefault="00070BBB" w:rsidP="00070BBB">
      <w:pPr>
        <w:numPr>
          <w:ilvl w:val="0"/>
          <w:numId w:val="42"/>
        </w:numPr>
        <w:shd w:val="clear" w:color="auto" w:fill="FFFFFF"/>
        <w:spacing w:before="100" w:beforeAutospacing="1" w:after="100" w:afterAutospacing="1" w:line="276" w:lineRule="auto"/>
        <w:rPr>
          <w:rFonts w:cstheme="majorHAnsi"/>
          <w:color w:val="000000" w:themeColor="text1"/>
          <w:shd w:val="clear" w:color="auto" w:fill="FFFFFF"/>
          <w:lang w:val="es-ES_tradnl" w:eastAsia="es-CO"/>
        </w:rPr>
      </w:pPr>
      <w:r w:rsidRPr="00070BBB">
        <w:rPr>
          <w:rFonts w:cstheme="majorHAnsi"/>
          <w:color w:val="000000" w:themeColor="text1"/>
          <w:shd w:val="clear" w:color="auto" w:fill="FFFFFF"/>
          <w:lang w:val="es-ES_tradnl" w:eastAsia="es-CO"/>
        </w:rPr>
        <w:t>Establecer las barreras para evitar el impacto visual en los alrededores del sitio de disposición final de RCD.</w:t>
      </w:r>
    </w:p>
    <w:p w14:paraId="5AB34FA7" w14:textId="77777777" w:rsidR="00070BBB" w:rsidRPr="00070BBB" w:rsidRDefault="00070BBB" w:rsidP="00070BBB">
      <w:pPr>
        <w:numPr>
          <w:ilvl w:val="0"/>
          <w:numId w:val="42"/>
        </w:numPr>
        <w:shd w:val="clear" w:color="auto" w:fill="FFFFFF"/>
        <w:spacing w:before="100" w:beforeAutospacing="1" w:after="100" w:afterAutospacing="1" w:line="276" w:lineRule="auto"/>
        <w:rPr>
          <w:rFonts w:cstheme="majorHAnsi"/>
          <w:color w:val="000000" w:themeColor="text1"/>
          <w:shd w:val="clear" w:color="auto" w:fill="FFFFFF"/>
          <w:lang w:val="es-ES_tradnl" w:eastAsia="es-CO"/>
        </w:rPr>
      </w:pPr>
      <w:r w:rsidRPr="00070BBB">
        <w:rPr>
          <w:rFonts w:cstheme="majorHAnsi"/>
          <w:color w:val="000000" w:themeColor="text1"/>
          <w:shd w:val="clear" w:color="auto" w:fill="FFFFFF"/>
          <w:lang w:val="es-ES_tradnl" w:eastAsia="es-CO"/>
        </w:rPr>
        <w:lastRenderedPageBreak/>
        <w:t>Contar con instrumentos de pesaje debidamente calibrados de acuerdo con la normatividad vigente.</w:t>
      </w:r>
    </w:p>
    <w:p w14:paraId="2C03AFAE" w14:textId="77777777" w:rsidR="00070BBB" w:rsidRPr="00070BBB" w:rsidRDefault="00070BBB" w:rsidP="00070BBB">
      <w:pPr>
        <w:numPr>
          <w:ilvl w:val="0"/>
          <w:numId w:val="42"/>
        </w:numPr>
        <w:shd w:val="clear" w:color="auto" w:fill="FFFFFF"/>
        <w:spacing w:before="100" w:beforeAutospacing="1" w:after="100" w:afterAutospacing="1" w:line="276" w:lineRule="auto"/>
        <w:rPr>
          <w:rFonts w:cstheme="majorHAnsi"/>
          <w:color w:val="000000" w:themeColor="text1"/>
          <w:shd w:val="clear" w:color="auto" w:fill="FFFFFF"/>
          <w:lang w:val="es-ES_tradnl" w:eastAsia="es-CO"/>
        </w:rPr>
      </w:pPr>
      <w:r w:rsidRPr="00070BBB">
        <w:rPr>
          <w:rFonts w:cstheme="majorHAnsi"/>
          <w:color w:val="000000" w:themeColor="text1"/>
          <w:shd w:val="clear" w:color="auto" w:fill="FFFFFF"/>
          <w:lang w:val="es-ES_tradnl" w:eastAsia="es-CO"/>
        </w:rPr>
        <w:t xml:space="preserve">Contar con cerramiento perimetral que garantice el aislamiento y seguridad del sitio </w:t>
      </w:r>
    </w:p>
    <w:p w14:paraId="24778346" w14:textId="77777777" w:rsidR="00070BBB" w:rsidRPr="00070BBB" w:rsidRDefault="00070BBB" w:rsidP="00070BBB">
      <w:pPr>
        <w:numPr>
          <w:ilvl w:val="0"/>
          <w:numId w:val="42"/>
        </w:numPr>
        <w:shd w:val="clear" w:color="auto" w:fill="FFFFFF"/>
        <w:spacing w:before="100" w:beforeAutospacing="1" w:after="100" w:afterAutospacing="1" w:line="276" w:lineRule="auto"/>
        <w:rPr>
          <w:rFonts w:cstheme="majorHAnsi"/>
          <w:color w:val="000000" w:themeColor="text1"/>
          <w:shd w:val="clear" w:color="auto" w:fill="FFFFFF"/>
          <w:lang w:val="es-ES_tradnl" w:eastAsia="es-CO"/>
        </w:rPr>
      </w:pPr>
      <w:r w:rsidRPr="00070BBB">
        <w:rPr>
          <w:rFonts w:cstheme="majorHAnsi"/>
          <w:color w:val="000000" w:themeColor="text1"/>
          <w:shd w:val="clear" w:color="auto" w:fill="FFFFFF"/>
          <w:lang w:val="es-ES_tradnl" w:eastAsia="es-CO"/>
        </w:rPr>
        <w:t xml:space="preserve">Contar con una valla informativa visible, que contenga la información relevante del sitio. </w:t>
      </w:r>
    </w:p>
    <w:p w14:paraId="17F3DED6" w14:textId="77777777" w:rsidR="00070BBB" w:rsidRPr="00070BBB" w:rsidRDefault="00070BBB" w:rsidP="00070BBB">
      <w:pPr>
        <w:numPr>
          <w:ilvl w:val="0"/>
          <w:numId w:val="42"/>
        </w:numPr>
        <w:shd w:val="clear" w:color="auto" w:fill="FFFFFF"/>
        <w:spacing w:before="100" w:beforeAutospacing="1" w:after="100" w:afterAutospacing="1" w:line="276" w:lineRule="auto"/>
        <w:rPr>
          <w:rFonts w:cstheme="majorHAnsi"/>
          <w:color w:val="000000" w:themeColor="text1"/>
          <w:shd w:val="clear" w:color="auto" w:fill="FFFFFF"/>
          <w:lang w:val="es-ES_tradnl" w:eastAsia="es-CO"/>
        </w:rPr>
      </w:pPr>
      <w:r w:rsidRPr="00070BBB">
        <w:rPr>
          <w:rFonts w:cstheme="majorHAnsi"/>
          <w:color w:val="000000" w:themeColor="text1"/>
          <w:shd w:val="clear" w:color="auto" w:fill="FFFFFF"/>
          <w:lang w:val="es-ES_tradnl" w:eastAsia="es-CO"/>
        </w:rPr>
        <w:t xml:space="preserve">Describir e implementar las actividades de clausura y </w:t>
      </w:r>
      <w:proofErr w:type="spellStart"/>
      <w:r w:rsidRPr="00070BBB">
        <w:rPr>
          <w:rFonts w:cstheme="majorHAnsi"/>
          <w:color w:val="000000" w:themeColor="text1"/>
          <w:shd w:val="clear" w:color="auto" w:fill="FFFFFF"/>
          <w:lang w:val="es-ES_tradnl" w:eastAsia="es-CO"/>
        </w:rPr>
        <w:t>posclausura</w:t>
      </w:r>
      <w:proofErr w:type="spellEnd"/>
      <w:r w:rsidRPr="00070BBB">
        <w:rPr>
          <w:rFonts w:cstheme="majorHAnsi"/>
          <w:color w:val="000000" w:themeColor="text1"/>
          <w:shd w:val="clear" w:color="auto" w:fill="FFFFFF"/>
          <w:lang w:val="es-ES_tradnl" w:eastAsia="es-CO"/>
        </w:rPr>
        <w:t xml:space="preserve"> </w:t>
      </w:r>
    </w:p>
    <w:p w14:paraId="01B87962" w14:textId="77777777" w:rsidR="00070BBB" w:rsidRPr="00070BBB" w:rsidRDefault="00070BBB" w:rsidP="00070BBB">
      <w:pPr>
        <w:spacing w:line="276" w:lineRule="auto"/>
        <w:rPr>
          <w:rFonts w:cstheme="majorHAnsi"/>
          <w:color w:val="000000" w:themeColor="text1"/>
          <w:shd w:val="clear" w:color="auto" w:fill="FFFFFF"/>
          <w:lang w:val="es-ES_tradnl" w:eastAsia="es-CO"/>
        </w:rPr>
      </w:pPr>
      <w:r w:rsidRPr="00070BBB">
        <w:rPr>
          <w:rFonts w:cstheme="majorHAnsi"/>
          <w:color w:val="000000" w:themeColor="text1"/>
          <w:lang w:val="es-ES_tradnl"/>
        </w:rPr>
        <w:t>Las actividades y recursos financieros definidos en cualquier proyecto de expansión a desarrollarse y que requieran manejo de residuos sólidos, deberán estar acordes con lo formulado en el PGIRS del municipio.</w:t>
      </w:r>
    </w:p>
    <w:p w14:paraId="1D155C93" w14:textId="77777777" w:rsidR="00070BBB" w:rsidRPr="00070BBB" w:rsidRDefault="00070BBB" w:rsidP="00070BBB">
      <w:pPr>
        <w:spacing w:line="276" w:lineRule="auto"/>
        <w:contextualSpacing/>
        <w:rPr>
          <w:rFonts w:eastAsia="Calibri" w:cstheme="majorHAnsi"/>
          <w:color w:val="000000" w:themeColor="text1"/>
          <w:lang w:val="es-ES_tradnl" w:eastAsia="es-ES"/>
        </w:rPr>
      </w:pPr>
    </w:p>
    <w:p w14:paraId="578D412E" w14:textId="77777777" w:rsidR="00070BBB" w:rsidRPr="00070BBB" w:rsidRDefault="00070BBB" w:rsidP="00070BBB">
      <w:pPr>
        <w:spacing w:line="276" w:lineRule="auto"/>
        <w:ind w:left="1728"/>
        <w:rPr>
          <w:rFonts w:cstheme="majorHAnsi"/>
          <w:i/>
          <w:iCs/>
          <w:color w:val="000000" w:themeColor="text1"/>
          <w:shd w:val="clear" w:color="auto" w:fill="FFFFFF"/>
          <w:lang w:val="es-ES_tradnl"/>
        </w:rPr>
      </w:pPr>
      <w:bookmarkStart w:id="8" w:name="_Toc46256422"/>
      <w:r w:rsidRPr="00070BBB">
        <w:rPr>
          <w:rFonts w:cstheme="majorHAnsi"/>
          <w:i/>
          <w:iCs/>
          <w:color w:val="000000" w:themeColor="text1"/>
          <w:shd w:val="clear" w:color="auto" w:fill="FFFFFF"/>
          <w:lang w:val="es-ES_tradnl"/>
        </w:rPr>
        <w:t>Residuos Peligrosos</w:t>
      </w:r>
      <w:bookmarkEnd w:id="8"/>
    </w:p>
    <w:p w14:paraId="610A6105" w14:textId="77777777" w:rsidR="00070BBB" w:rsidRPr="00070BBB" w:rsidRDefault="00070BBB" w:rsidP="00070BBB">
      <w:pPr>
        <w:spacing w:line="276" w:lineRule="auto"/>
        <w:contextualSpacing/>
        <w:rPr>
          <w:rFonts w:eastAsia="Calibri" w:cstheme="majorHAnsi"/>
          <w:color w:val="000000" w:themeColor="text1"/>
          <w:lang w:val="es-ES_tradnl"/>
        </w:rPr>
      </w:pPr>
    </w:p>
    <w:p w14:paraId="6638D874" w14:textId="26C57B08" w:rsidR="00070BBB" w:rsidRPr="00070BBB" w:rsidRDefault="00070BBB" w:rsidP="00070BBB">
      <w:pPr>
        <w:spacing w:line="276" w:lineRule="auto"/>
        <w:rPr>
          <w:rFonts w:eastAsia="Calibri" w:cstheme="majorHAnsi"/>
          <w:color w:val="000000" w:themeColor="text1"/>
          <w:lang w:val="es-ES_tradnl"/>
        </w:rPr>
      </w:pPr>
      <w:bookmarkStart w:id="9" w:name="_Hlk57378553"/>
      <w:r w:rsidRPr="00070BBB">
        <w:rPr>
          <w:rFonts w:eastAsia="Calibri" w:cstheme="majorHAnsi"/>
          <w:color w:val="000000" w:themeColor="text1"/>
          <w:lang w:val="es-ES_tradnl"/>
        </w:rPr>
        <w:t>Los residuos o desechos que se pueden considerar peligrosos, son aquellos reconocidos dentro de los anexos I y II del decreto 4741 de 2005, así como también las sustancias que tengan las características mencionadas en el anexo III de la norma mencionada y todos aquellos que se vean mezclados con estos residuos o desechos.</w:t>
      </w:r>
      <w:bookmarkEnd w:id="9"/>
      <w:r w:rsidRPr="00070BBB">
        <w:rPr>
          <w:rFonts w:eastAsia="Calibri" w:cstheme="majorHAnsi"/>
          <w:color w:val="000000" w:themeColor="text1"/>
          <w:lang w:val="es-ES_tradnl"/>
        </w:rPr>
        <w:t xml:space="preserve"> Según la norma, el generador puede demostrar que sus desechos o residuos no son peligrosos, a través de análisis fisicoquímicos, sin embargo, la autoridad ambiental podrá exigir al generador estudios más detallados. </w:t>
      </w:r>
    </w:p>
    <w:p w14:paraId="010D9F34" w14:textId="77777777" w:rsidR="00070BBB" w:rsidRPr="00070BBB" w:rsidRDefault="00070BBB" w:rsidP="00070BBB">
      <w:pPr>
        <w:spacing w:line="276" w:lineRule="auto"/>
        <w:rPr>
          <w:rFonts w:eastAsia="Calibri" w:cstheme="majorHAnsi"/>
          <w:color w:val="000000" w:themeColor="text1"/>
          <w:lang w:val="es-ES_tradnl"/>
        </w:rPr>
      </w:pPr>
    </w:p>
    <w:p w14:paraId="2DD4B99A" w14:textId="1D9A8E87" w:rsidR="00070BBB" w:rsidRPr="00070BBB" w:rsidRDefault="00070BBB" w:rsidP="00070BBB">
      <w:pPr>
        <w:spacing w:line="276" w:lineRule="auto"/>
        <w:rPr>
          <w:rFonts w:eastAsia="Calibri" w:cstheme="majorHAnsi"/>
          <w:color w:val="000000" w:themeColor="text1"/>
          <w:shd w:val="clear" w:color="auto" w:fill="FFFFFF"/>
          <w:lang w:val="es-ES_tradnl"/>
        </w:rPr>
      </w:pPr>
      <w:r w:rsidRPr="00070BBB">
        <w:rPr>
          <w:rFonts w:eastAsia="Calibri" w:cstheme="majorHAnsi"/>
          <w:color w:val="000000" w:themeColor="text1"/>
          <w:lang w:val="es-ES_tradnl"/>
        </w:rPr>
        <w:t xml:space="preserve">El manejo de los residuos o desechos peligrosos se rige sobre los principios de: </w:t>
      </w:r>
      <w:r w:rsidRPr="00070BBB">
        <w:rPr>
          <w:rFonts w:eastAsia="Calibri" w:cstheme="majorHAnsi"/>
          <w:color w:val="000000" w:themeColor="text1"/>
          <w:shd w:val="clear" w:color="auto" w:fill="FFFFFF"/>
          <w:lang w:val="es-ES_tradnl"/>
        </w:rPr>
        <w:t xml:space="preserve">gestión integral, ciclo de vida del producto, responsabilidad integral del generador, producción y consumo sostenible, precaución, participación pública, internalización de costos ambientales, planificación, gradualidad y comunicación del riesgo. Estos principios involucran a una serie de actores como responsables de la ejecución de ciertas obligaciones, estos actores son: el generador, el fabricante o importador, el transportista y el receptor. </w:t>
      </w:r>
    </w:p>
    <w:p w14:paraId="4D5A92FB" w14:textId="77777777" w:rsidR="00070BBB" w:rsidRPr="00070BBB" w:rsidRDefault="00070BBB" w:rsidP="00070BBB">
      <w:pPr>
        <w:spacing w:line="276" w:lineRule="auto"/>
        <w:rPr>
          <w:rFonts w:eastAsia="Calibri" w:cstheme="majorHAnsi"/>
          <w:color w:val="000000" w:themeColor="text1"/>
          <w:shd w:val="clear" w:color="auto" w:fill="FFFFFF"/>
          <w:lang w:val="es-ES_tradnl"/>
        </w:rPr>
      </w:pPr>
    </w:p>
    <w:p w14:paraId="54E10C28" w14:textId="77777777" w:rsidR="00070BBB" w:rsidRPr="00070BBB" w:rsidRDefault="00070BBB" w:rsidP="00070BBB">
      <w:pPr>
        <w:spacing w:line="276" w:lineRule="auto"/>
        <w:rPr>
          <w:rFonts w:eastAsia="Calibri" w:cstheme="majorHAnsi"/>
          <w:color w:val="000000" w:themeColor="text1"/>
          <w:shd w:val="clear" w:color="auto" w:fill="FFFFFF"/>
          <w:lang w:val="es-ES_tradnl"/>
        </w:rPr>
      </w:pPr>
      <w:bookmarkStart w:id="10" w:name="_Hlk57379086"/>
      <w:bookmarkStart w:id="11" w:name="_Hlk57379332"/>
      <w:r w:rsidRPr="00070BBB">
        <w:rPr>
          <w:rFonts w:eastAsia="Calibri" w:cstheme="majorHAnsi"/>
          <w:color w:val="000000" w:themeColor="text1"/>
          <w:shd w:val="clear" w:color="auto" w:fill="FFFFFF"/>
          <w:lang w:val="es-ES_tradnl"/>
        </w:rPr>
        <w:t>El generador de los residuos o desechos peligrosos deberá garantizar la gestión y manejo de integral de sus RESPEL para lo cual deberá contar con un PGIR para desechos y/o residuos peligrosos donde se documente el origen, cantidad, características de peligrosidad y manejo que se dé a los residuos o desechos peligrosos, un plan de contingencia y plan de cierre; debe garantizar que el envasado o empacado, embalado y etiquetado de los RESPEL se realice conforme a la norma</w:t>
      </w:r>
      <w:bookmarkEnd w:id="10"/>
      <w:r w:rsidRPr="00070BBB">
        <w:rPr>
          <w:rFonts w:eastAsia="Calibri" w:cstheme="majorHAnsi"/>
          <w:color w:val="000000" w:themeColor="text1"/>
          <w:shd w:val="clear" w:color="auto" w:fill="FFFFFF"/>
          <w:lang w:val="es-ES_tradnl"/>
        </w:rPr>
        <w:t>; debe suministrar al transportista las hojas de seguridad correspondientes a los RESPEL generados; debe registrarse y mantener la información actualizada ante la autoridad ambiental frente a las características de los residuos o desechos generados</w:t>
      </w:r>
      <w:bookmarkEnd w:id="11"/>
      <w:r w:rsidRPr="00070BBB">
        <w:rPr>
          <w:rFonts w:eastAsia="Calibri" w:cstheme="majorHAnsi"/>
          <w:color w:val="000000" w:themeColor="text1"/>
          <w:shd w:val="clear" w:color="auto" w:fill="FFFFFF"/>
          <w:lang w:val="es-ES_tradnl"/>
        </w:rPr>
        <w:t xml:space="preserve">. Finalmente, debe contratar los servicios de almacenamiento, aprovechamiento, recuperación, tratamiento y/o disposición final, con instalaciones que cuenten con las </w:t>
      </w:r>
      <w:r w:rsidRPr="00070BBB">
        <w:rPr>
          <w:rFonts w:eastAsia="Calibri" w:cstheme="majorHAnsi"/>
          <w:color w:val="000000" w:themeColor="text1"/>
          <w:shd w:val="clear" w:color="auto" w:fill="FFFFFF"/>
          <w:lang w:val="es-ES_tradnl"/>
        </w:rPr>
        <w:lastRenderedPageBreak/>
        <w:t xml:space="preserve">licencias, permisos, autorizaciones o demás instrumentos de manejo y control ambiental a que haya lugar, de conformidad con la normatividad ambiental vigente. El fabricante o importador comparte con el generador todas las responsabilidades mencionadas y adicionalmente debe comunicar el riesgo de sus sustancias o productos con propiedad peligrosa a los diferentes usuarios o consumidores. Todas las obligaciones en la gestión integral de los residuos y desechos peligrosos subsisten hasta que el residuo o desecho peligroso sea aprovechado como insumo o dispuesto con carácter definitivo. El receptor asume la responsabilidad integral del generador una vez reciba por parte del transportador, los residuos o desechos peligrosos. </w:t>
      </w:r>
    </w:p>
    <w:p w14:paraId="589C31BF" w14:textId="77777777" w:rsidR="00070BBB" w:rsidRPr="00070BBB" w:rsidRDefault="00070BBB" w:rsidP="00070BBB">
      <w:pPr>
        <w:shd w:val="clear" w:color="auto" w:fill="FFFFFF"/>
        <w:spacing w:before="100" w:beforeAutospacing="1" w:after="100" w:afterAutospacing="1" w:line="276" w:lineRule="auto"/>
        <w:rPr>
          <w:rFonts w:cstheme="majorHAnsi"/>
          <w:color w:val="000000" w:themeColor="text1"/>
          <w:lang w:val="es-ES_tradnl" w:eastAsia="es-CO"/>
        </w:rPr>
      </w:pPr>
      <w:r w:rsidRPr="00070BBB">
        <w:rPr>
          <w:rFonts w:cstheme="majorHAnsi"/>
          <w:iCs/>
          <w:color w:val="000000" w:themeColor="text1"/>
          <w:shd w:val="clear" w:color="auto" w:fill="FFFFFF"/>
          <w:lang w:val="es-ES_tradnl" w:eastAsia="es-CO"/>
        </w:rPr>
        <w:t>Los residuos o desechos peligrosos provenientes del consumo de productos o sustancias peligrosas (</w:t>
      </w:r>
      <w:r w:rsidRPr="00070BBB">
        <w:rPr>
          <w:rFonts w:cstheme="majorHAnsi"/>
          <w:color w:val="000000" w:themeColor="text1"/>
          <w:shd w:val="clear" w:color="auto" w:fill="FFFFFF"/>
          <w:lang w:val="es-ES_tradnl" w:eastAsia="es-CO"/>
        </w:rPr>
        <w:t>Plaguicidas en desuso, sus envases o empaques y los embalajes que se hayan contaminado con plaguicidas; fármacos o medicamentos vencidos; baterías usadas plomo-Ácido</w:t>
      </w:r>
      <w:r w:rsidRPr="00070BBB">
        <w:rPr>
          <w:rFonts w:cstheme="majorHAnsi"/>
          <w:iCs/>
          <w:color w:val="000000" w:themeColor="text1"/>
          <w:shd w:val="clear" w:color="auto" w:fill="FFFFFF"/>
          <w:lang w:val="es-ES_tradnl" w:eastAsia="es-CO"/>
        </w:rPr>
        <w:t>).</w:t>
      </w:r>
      <w:r w:rsidRPr="00070BBB">
        <w:rPr>
          <w:rFonts w:cstheme="majorHAnsi"/>
          <w:color w:val="000000" w:themeColor="text1"/>
          <w:shd w:val="clear" w:color="auto" w:fill="FFFFFF"/>
          <w:lang w:val="es-ES_tradnl" w:eastAsia="es-CO"/>
        </w:rPr>
        <w:t> Estarán sujetos a un Plan de Gestión de Devolución de Productos Posconsumo para su retorno a la cadena de producción-importación-distribución-comercialización, esto será responsabilidad del productor o importador, mientras que, el consumidor o usuario final de estos productos mencionados deberá s</w:t>
      </w:r>
      <w:r w:rsidRPr="00070BBB">
        <w:rPr>
          <w:rFonts w:cstheme="majorHAnsi"/>
          <w:color w:val="000000" w:themeColor="text1"/>
          <w:lang w:val="es-ES_tradnl" w:eastAsia="es-CO"/>
        </w:rPr>
        <w:t xml:space="preserve">eguir las instrucciones de manejo seguro suministradas por el fabricante o importador del producto o sustancia química hasta finalizar su vida útil y tiene que entregar los residuos o desechos peligrosos de posconsumo provenientes de productos o sustancias químicas con propiedad peligrosa, al mecanismo de devolución o retorno que el fabricante o importador establezca. </w:t>
      </w:r>
    </w:p>
    <w:p w14:paraId="7B2D56B5" w14:textId="77777777" w:rsidR="00070BBB" w:rsidRPr="00070BBB" w:rsidRDefault="00070BBB" w:rsidP="00070BBB">
      <w:pPr>
        <w:spacing w:line="276" w:lineRule="auto"/>
        <w:rPr>
          <w:rFonts w:eastAsia="Calibri" w:cstheme="majorHAnsi"/>
          <w:color w:val="000000" w:themeColor="text1"/>
          <w:lang w:val="es-ES_tradnl"/>
        </w:rPr>
      </w:pPr>
      <w:r w:rsidRPr="00070BBB">
        <w:rPr>
          <w:rFonts w:eastAsia="Calibri" w:cstheme="majorHAnsi"/>
          <w:color w:val="000000" w:themeColor="text1"/>
          <w:lang w:val="es-ES_tradnl"/>
        </w:rPr>
        <w:t>Los residuos peligrosos de carácter hospitalario generados en Viotá, son recolectados por el hospital de Facatativá quien se encarga de su gestión. Los residuos generados por actividades agrícolas como los residuos de fertilizantes, agroquímicos y pesticidas son recolectados por los productores y el municipio no realiza un control ni tiene un rol asumido frente a la gestión de estos residuos.</w:t>
      </w:r>
    </w:p>
    <w:p w14:paraId="1564544B" w14:textId="77777777" w:rsidR="00070BBB" w:rsidRPr="00070BBB" w:rsidRDefault="00070BBB" w:rsidP="00070BBB">
      <w:pPr>
        <w:shd w:val="clear" w:color="auto" w:fill="FFFFFF"/>
        <w:spacing w:before="100" w:beforeAutospacing="1" w:after="100" w:afterAutospacing="1" w:line="276" w:lineRule="auto"/>
        <w:rPr>
          <w:rFonts w:cstheme="majorHAnsi"/>
          <w:color w:val="000000" w:themeColor="text1"/>
          <w:lang w:val="es-ES_tradnl" w:eastAsia="es-CO"/>
        </w:rPr>
      </w:pPr>
      <w:r w:rsidRPr="00070BBB">
        <w:rPr>
          <w:rFonts w:cstheme="majorHAnsi"/>
          <w:color w:val="000000" w:themeColor="text1"/>
          <w:lang w:val="es-ES_tradnl" w:eastAsia="es-CO"/>
        </w:rPr>
        <w:t xml:space="preserve">En la actualidad el municipio de Viotá no cuenta con una estrategia de vinculación frente a los planes de devolución </w:t>
      </w:r>
      <w:proofErr w:type="spellStart"/>
      <w:proofErr w:type="gramStart"/>
      <w:r w:rsidRPr="00070BBB">
        <w:rPr>
          <w:rFonts w:cstheme="majorHAnsi"/>
          <w:color w:val="000000" w:themeColor="text1"/>
          <w:lang w:val="es-ES_tradnl" w:eastAsia="es-CO"/>
        </w:rPr>
        <w:t>pos</w:t>
      </w:r>
      <w:proofErr w:type="spellEnd"/>
      <w:r w:rsidRPr="00070BBB">
        <w:rPr>
          <w:rFonts w:cstheme="majorHAnsi"/>
          <w:color w:val="000000" w:themeColor="text1"/>
          <w:lang w:val="es-ES_tradnl" w:eastAsia="es-CO"/>
        </w:rPr>
        <w:t xml:space="preserve"> consumo</w:t>
      </w:r>
      <w:proofErr w:type="gramEnd"/>
      <w:r w:rsidRPr="00070BBB">
        <w:rPr>
          <w:rFonts w:cstheme="majorHAnsi"/>
          <w:color w:val="000000" w:themeColor="text1"/>
          <w:lang w:val="es-ES_tradnl" w:eastAsia="es-CO"/>
        </w:rPr>
        <w:t>, por lo que no se cuenta con una estimación de la cantidad de residuos de este tipo que se genera en el municipio y mucho menos una estrategia de disposición de los mismos.</w:t>
      </w:r>
    </w:p>
    <w:p w14:paraId="45028282" w14:textId="77777777" w:rsidR="00070BBB" w:rsidRPr="00070BBB" w:rsidRDefault="00070BBB" w:rsidP="00070BBB">
      <w:pPr>
        <w:spacing w:line="276" w:lineRule="auto"/>
        <w:rPr>
          <w:rFonts w:eastAsia="Calibri" w:cstheme="majorHAnsi"/>
          <w:color w:val="000000" w:themeColor="text1"/>
          <w:lang w:val="es-ES_tradnl"/>
        </w:rPr>
      </w:pPr>
      <w:r w:rsidRPr="00070BBB">
        <w:rPr>
          <w:rFonts w:eastAsia="Calibri" w:cstheme="majorHAnsi"/>
          <w:color w:val="000000" w:themeColor="text1"/>
          <w:lang w:val="es-ES_tradnl"/>
        </w:rPr>
        <w:t xml:space="preserve">Sin embargo, el municipio es autónomo de determinar si dentro de su jurisdicción habilita suelo para la localización de áreas potenciales para la ubicación de infraestructura para el manejo de residuos o desechos peligrosos, por lo que analizando la generación de </w:t>
      </w:r>
      <w:proofErr w:type="gramStart"/>
      <w:r w:rsidRPr="00070BBB">
        <w:rPr>
          <w:rFonts w:eastAsia="Calibri" w:cstheme="majorHAnsi"/>
          <w:color w:val="000000" w:themeColor="text1"/>
          <w:lang w:val="es-ES_tradnl"/>
        </w:rPr>
        <w:t>los mismos</w:t>
      </w:r>
      <w:proofErr w:type="gramEnd"/>
      <w:r w:rsidRPr="00070BBB">
        <w:rPr>
          <w:rFonts w:eastAsia="Calibri" w:cstheme="majorHAnsi"/>
          <w:color w:val="000000" w:themeColor="text1"/>
          <w:lang w:val="es-ES_tradnl"/>
        </w:rPr>
        <w:t xml:space="preserve"> y las condiciones de acceso del territorio no se viabiliza ni técnica, ambiental y económicamente la posibilidad de localizar este tipo de infraestructura. No obstante, el </w:t>
      </w:r>
      <w:r w:rsidRPr="00070BBB">
        <w:rPr>
          <w:rFonts w:eastAsia="Calibri" w:cstheme="majorHAnsi"/>
          <w:color w:val="000000" w:themeColor="text1"/>
          <w:lang w:val="es-ES_tradnl"/>
        </w:rPr>
        <w:lastRenderedPageBreak/>
        <w:t>municipio revisará que se haga el manejo respectivo de los mismos a través del transporte a los sitos autorizados.</w:t>
      </w:r>
    </w:p>
    <w:p w14:paraId="0C559716" w14:textId="77777777" w:rsidR="00070BBB" w:rsidRPr="00070BBB" w:rsidRDefault="00070BBB" w:rsidP="00070BBB">
      <w:pPr>
        <w:spacing w:line="276" w:lineRule="auto"/>
        <w:rPr>
          <w:rFonts w:eastAsia="Calibri" w:cstheme="majorHAnsi"/>
          <w:color w:val="000000" w:themeColor="text1"/>
          <w:lang w:val="es-ES_tradnl"/>
        </w:rPr>
      </w:pPr>
    </w:p>
    <w:p w14:paraId="4A91E302" w14:textId="77777777" w:rsidR="00070BBB" w:rsidRPr="00070BBB" w:rsidRDefault="00070BBB" w:rsidP="00070BBB">
      <w:pPr>
        <w:spacing w:line="276" w:lineRule="auto"/>
        <w:rPr>
          <w:rFonts w:eastAsia="Calibri" w:cstheme="majorHAnsi"/>
          <w:i/>
          <w:iCs/>
          <w:color w:val="000000" w:themeColor="text1"/>
          <w:lang w:val="es-ES_tradnl"/>
        </w:rPr>
      </w:pPr>
      <w:r w:rsidRPr="00070BBB">
        <w:rPr>
          <w:rFonts w:eastAsia="Calibri" w:cstheme="majorHAnsi"/>
          <w:i/>
          <w:iCs/>
          <w:color w:val="000000" w:themeColor="text1"/>
          <w:lang w:val="es-ES_tradnl"/>
        </w:rPr>
        <w:t>Transporte de Residuos o Desechos Peligrosos</w:t>
      </w:r>
    </w:p>
    <w:p w14:paraId="59BEB085" w14:textId="77777777" w:rsidR="00070BBB" w:rsidRPr="00070BBB" w:rsidRDefault="00070BBB" w:rsidP="00070BBB">
      <w:pPr>
        <w:spacing w:line="276" w:lineRule="auto"/>
        <w:rPr>
          <w:rFonts w:eastAsia="Calibri" w:cstheme="majorHAnsi"/>
          <w:color w:val="000000" w:themeColor="text1"/>
          <w:lang w:val="es-ES_tradnl"/>
        </w:rPr>
      </w:pPr>
      <w:bookmarkStart w:id="12" w:name="_Hlk57378810"/>
      <w:r w:rsidRPr="00070BBB">
        <w:rPr>
          <w:rFonts w:eastAsia="Calibri" w:cstheme="majorHAnsi"/>
          <w:color w:val="000000" w:themeColor="text1"/>
          <w:lang w:val="es-ES_tradnl"/>
        </w:rPr>
        <w:t xml:space="preserve">Para el transporte de residuos o desechos peligrosos el municipio deberá tener en cuenta las medidas especificadas del Decreto 1609 de 2002, en cuanto a manejo de la carga, requisitos de la unidad de transporte y vehículo de carga destinado al transporte de mercancías peligrosas y obligaciones de los actores de la cadena del transporte, así como las medidas de control, prevención y demás disposiciones. </w:t>
      </w:r>
    </w:p>
    <w:bookmarkEnd w:id="12"/>
    <w:p w14:paraId="6A67FE62" w14:textId="108F1C81" w:rsidR="00070BBB" w:rsidRPr="00070BBB" w:rsidRDefault="00070BBB">
      <w:pPr>
        <w:rPr>
          <w:rFonts w:cstheme="majorHAnsi"/>
          <w:lang w:val="es-ES_tradnl"/>
        </w:rPr>
      </w:pPr>
      <w:r w:rsidRPr="00070BBB">
        <w:rPr>
          <w:rFonts w:cstheme="majorHAnsi"/>
          <w:lang w:val="es-ES_tradnl"/>
        </w:rPr>
        <w:t xml:space="preserve"> </w:t>
      </w:r>
    </w:p>
    <w:p w14:paraId="5D4535B0" w14:textId="43297CF3" w:rsidR="00070BBB" w:rsidRPr="00070BBB" w:rsidRDefault="00070BBB">
      <w:pPr>
        <w:rPr>
          <w:rFonts w:cstheme="majorHAnsi"/>
          <w:lang w:val="es-ES_tradnl"/>
        </w:rPr>
      </w:pPr>
    </w:p>
    <w:p w14:paraId="29AB5237" w14:textId="2C7DDCF3" w:rsidR="00070BBB" w:rsidRPr="00070BBB" w:rsidRDefault="00070BBB">
      <w:pPr>
        <w:rPr>
          <w:rFonts w:cstheme="majorHAnsi"/>
          <w:lang w:val="es-ES_tradnl"/>
        </w:rPr>
      </w:pPr>
    </w:p>
    <w:p w14:paraId="028EB331" w14:textId="0BE45430" w:rsidR="00070BBB" w:rsidRPr="00A450FF" w:rsidRDefault="00070BBB" w:rsidP="00A450FF">
      <w:pPr>
        <w:pStyle w:val="Prrafodelista"/>
        <w:numPr>
          <w:ilvl w:val="0"/>
          <w:numId w:val="43"/>
        </w:numPr>
        <w:rPr>
          <w:rFonts w:cstheme="majorHAnsi"/>
          <w:b/>
          <w:bCs/>
          <w:lang w:val="es-ES_tradnl"/>
        </w:rPr>
      </w:pPr>
      <w:r w:rsidRPr="00070BBB">
        <w:rPr>
          <w:rFonts w:cstheme="majorHAnsi"/>
          <w:b/>
          <w:bCs/>
          <w:lang w:val="es-ES_tradnl"/>
        </w:rPr>
        <w:t>PROYECTO DE ACUERDO</w:t>
      </w:r>
    </w:p>
    <w:p w14:paraId="33C46373" w14:textId="77777777" w:rsidR="00070BBB" w:rsidRPr="00070BBB" w:rsidRDefault="00070BBB" w:rsidP="00070BBB">
      <w:pPr>
        <w:rPr>
          <w:rFonts w:cstheme="majorHAnsi"/>
          <w:lang w:val="es-ES_tradnl"/>
        </w:rPr>
      </w:pPr>
    </w:p>
    <w:p w14:paraId="10281191" w14:textId="77777777" w:rsidR="00070BBB" w:rsidRPr="00070BBB" w:rsidRDefault="00070BBB" w:rsidP="00070BBB">
      <w:pPr>
        <w:rPr>
          <w:rFonts w:cstheme="majorHAnsi"/>
          <w:lang w:val="es-ES_tradnl"/>
        </w:rPr>
      </w:pPr>
      <w:r w:rsidRPr="00070BBB">
        <w:rPr>
          <w:rFonts w:cstheme="majorHAnsi"/>
          <w:lang w:val="es-ES_tradnl"/>
        </w:rPr>
        <w:t xml:space="preserve">ARTÍCULO 113.- </w:t>
      </w:r>
      <w:r w:rsidRPr="00070BBB">
        <w:rPr>
          <w:rFonts w:cstheme="majorHAnsi"/>
          <w:lang w:val="es-ES_tradnl"/>
        </w:rPr>
        <w:tab/>
        <w:t xml:space="preserve">SUBSISTEMA DE ASEO. </w:t>
      </w:r>
    </w:p>
    <w:p w14:paraId="6C369288" w14:textId="77777777" w:rsidR="00070BBB" w:rsidRPr="00070BBB" w:rsidRDefault="00070BBB" w:rsidP="00070BBB">
      <w:pPr>
        <w:rPr>
          <w:rFonts w:cstheme="majorHAnsi"/>
          <w:lang w:val="es-ES_tradnl"/>
        </w:rPr>
      </w:pPr>
      <w:r w:rsidRPr="00070BBB">
        <w:rPr>
          <w:rFonts w:cstheme="majorHAnsi"/>
          <w:lang w:val="es-ES_tradnl"/>
        </w:rPr>
        <w:t>Se refiere al conjunto de instrumentos y mecanismos encaminados a la presentación, recolección, transporte, selección, almacenamiento, aprovechamiento, tratamiento y disposición de residuos sólidos, la limpieza de áreas públicas, y cortes y podas en áreas públicas.</w:t>
      </w:r>
    </w:p>
    <w:p w14:paraId="04A067B7" w14:textId="77777777" w:rsidR="00070BBB" w:rsidRPr="00070BBB" w:rsidRDefault="00070BBB" w:rsidP="00070BBB">
      <w:pPr>
        <w:rPr>
          <w:rFonts w:cstheme="majorHAnsi"/>
          <w:lang w:val="es-ES_tradnl"/>
        </w:rPr>
      </w:pPr>
    </w:p>
    <w:p w14:paraId="565493EA" w14:textId="7BAEFB55" w:rsidR="00070BBB" w:rsidRPr="00070BBB" w:rsidRDefault="00070BBB" w:rsidP="00070BBB">
      <w:pPr>
        <w:rPr>
          <w:rFonts w:cstheme="majorHAnsi"/>
          <w:lang w:val="es-ES_tradnl"/>
        </w:rPr>
      </w:pPr>
      <w:r w:rsidRPr="00070BBB">
        <w:rPr>
          <w:rFonts w:cstheme="majorHAnsi"/>
          <w:lang w:val="es-ES_tradnl"/>
        </w:rPr>
        <w:t>Las acciones estratégicas específicas para el fortalecimiento y consolidación del Subsistema de Aseo son:</w:t>
      </w:r>
    </w:p>
    <w:p w14:paraId="7EB87E12" w14:textId="02ECDC0D" w:rsidR="00070BBB" w:rsidRPr="00070BBB" w:rsidRDefault="00070BBB" w:rsidP="00070BBB">
      <w:pPr>
        <w:rPr>
          <w:rFonts w:cstheme="majorHAnsi"/>
          <w:lang w:val="es-ES_tradnl"/>
        </w:rPr>
      </w:pPr>
      <w:r w:rsidRPr="00070BBB">
        <w:rPr>
          <w:rFonts w:cstheme="majorHAnsi"/>
          <w:lang w:val="es-ES_tradnl"/>
        </w:rPr>
        <w:t>1.</w:t>
      </w:r>
      <w:r w:rsidRPr="00070BBB">
        <w:rPr>
          <w:rFonts w:cstheme="majorHAnsi"/>
          <w:lang w:val="es-ES_tradnl"/>
        </w:rPr>
        <w:tab/>
        <w:t>Actualizar e implementar el Plan de Gestión Integral de Residuos Sólidos –PGIRS- acorde a los lineamientos normativos vigentes, definiendo los roles y compromisos por parte del municipio.</w:t>
      </w:r>
    </w:p>
    <w:p w14:paraId="7727856D" w14:textId="53C28F0D" w:rsidR="00070BBB" w:rsidRPr="00070BBB" w:rsidRDefault="00070BBB" w:rsidP="00070BBB">
      <w:pPr>
        <w:rPr>
          <w:rFonts w:cstheme="majorHAnsi"/>
          <w:lang w:val="es-ES_tradnl"/>
        </w:rPr>
      </w:pPr>
      <w:r w:rsidRPr="00070BBB">
        <w:rPr>
          <w:rFonts w:cstheme="majorHAnsi"/>
          <w:lang w:val="es-ES_tradnl"/>
        </w:rPr>
        <w:t>2.</w:t>
      </w:r>
      <w:r w:rsidRPr="00070BBB">
        <w:rPr>
          <w:rFonts w:cstheme="majorHAnsi"/>
          <w:lang w:val="es-ES_tradnl"/>
        </w:rPr>
        <w:tab/>
        <w:t>Implementar alternativas de gestión y manejo de residuos sólidos peligrosos en concordancia con las disposiciones del orden departamental y Nacional.</w:t>
      </w:r>
    </w:p>
    <w:p w14:paraId="4236A53A" w14:textId="77777777" w:rsidR="00070BBB" w:rsidRPr="00070BBB" w:rsidRDefault="00070BBB" w:rsidP="00070BBB">
      <w:pPr>
        <w:rPr>
          <w:rFonts w:cstheme="majorHAnsi"/>
          <w:lang w:val="es-ES_tradnl"/>
        </w:rPr>
      </w:pPr>
      <w:r w:rsidRPr="00070BBB">
        <w:rPr>
          <w:rFonts w:cstheme="majorHAnsi"/>
          <w:lang w:val="es-ES_tradnl"/>
        </w:rPr>
        <w:t>3.</w:t>
      </w:r>
      <w:r w:rsidRPr="00070BBB">
        <w:rPr>
          <w:rFonts w:cstheme="majorHAnsi"/>
          <w:lang w:val="es-ES_tradnl"/>
        </w:rPr>
        <w:tab/>
        <w:t xml:space="preserve">Promover actividades de reciclaje de material orgánico mediante procesos de </w:t>
      </w:r>
      <w:proofErr w:type="spellStart"/>
      <w:r w:rsidRPr="00070BBB">
        <w:rPr>
          <w:rFonts w:cstheme="majorHAnsi"/>
          <w:lang w:val="es-ES_tradnl"/>
        </w:rPr>
        <w:t>biocompost</w:t>
      </w:r>
      <w:proofErr w:type="spellEnd"/>
      <w:r w:rsidRPr="00070BBB">
        <w:rPr>
          <w:rFonts w:cstheme="majorHAnsi"/>
          <w:lang w:val="es-ES_tradnl"/>
        </w:rPr>
        <w:t>; el tratamiento de material inorgánico mediante procesos de separación para su posterior comercialización; trituración del material de escombros para su reutilización en nuevas obras y la incineración de residuos peligrosos y no recuperables.</w:t>
      </w:r>
    </w:p>
    <w:p w14:paraId="456D7B03" w14:textId="77777777" w:rsidR="00070BBB" w:rsidRPr="00070BBB" w:rsidRDefault="00070BBB" w:rsidP="00070BBB">
      <w:pPr>
        <w:rPr>
          <w:rFonts w:cstheme="majorHAnsi"/>
          <w:lang w:val="es-ES_tradnl"/>
        </w:rPr>
      </w:pPr>
    </w:p>
    <w:p w14:paraId="1414ECDF" w14:textId="77777777" w:rsidR="00070BBB" w:rsidRPr="00070BBB" w:rsidRDefault="00070BBB" w:rsidP="00070BBB">
      <w:pPr>
        <w:rPr>
          <w:rFonts w:cstheme="majorHAnsi"/>
          <w:lang w:val="es-ES_tradnl"/>
        </w:rPr>
      </w:pPr>
      <w:r w:rsidRPr="00070BBB">
        <w:rPr>
          <w:rFonts w:cstheme="majorHAnsi"/>
          <w:lang w:val="es-ES_tradnl"/>
        </w:rPr>
        <w:lastRenderedPageBreak/>
        <w:t xml:space="preserve">ARTÍCULO 114.- </w:t>
      </w:r>
      <w:r w:rsidRPr="00070BBB">
        <w:rPr>
          <w:rFonts w:cstheme="majorHAnsi"/>
          <w:lang w:val="es-ES_tradnl"/>
        </w:rPr>
        <w:tab/>
        <w:t>DEFINICIÓN DE CENTRO DE ACOPIO O ECA</w:t>
      </w:r>
    </w:p>
    <w:p w14:paraId="01CFE522" w14:textId="517E7C78" w:rsidR="00070BBB" w:rsidRDefault="00070BBB" w:rsidP="00070BBB">
      <w:pPr>
        <w:rPr>
          <w:rFonts w:cstheme="majorHAnsi"/>
          <w:lang w:val="es-ES_tradnl"/>
        </w:rPr>
      </w:pPr>
      <w:r w:rsidRPr="00070BBB">
        <w:rPr>
          <w:rFonts w:cstheme="majorHAnsi"/>
          <w:lang w:val="es-ES_tradnl"/>
        </w:rPr>
        <w:t xml:space="preserve">Son las instalaciones de almacenamiento transitorio de residuos, generalmente ubicadas en las instalaciones del generador, en los que una vez realizada la separación de la fuente se almacenan, seleccionan y/o acondicionan para facilitar su aprovechamiento, tratamiento o recolección selectiva, estas instalaciones se clasifican como dotacionales y deberán cumplir con los requisitos mínimos que se tiene en la tabla de equipamientos. </w:t>
      </w:r>
    </w:p>
    <w:p w14:paraId="7C79E8EC" w14:textId="77777777" w:rsidR="00A450FF" w:rsidRPr="00070BBB" w:rsidRDefault="00A450FF" w:rsidP="00070BBB">
      <w:pPr>
        <w:rPr>
          <w:rFonts w:cstheme="majorHAnsi"/>
          <w:lang w:val="es-ES_tradnl"/>
        </w:rPr>
      </w:pPr>
    </w:p>
    <w:p w14:paraId="1F95ECB8" w14:textId="77777777" w:rsidR="00070BBB" w:rsidRPr="00070BBB" w:rsidRDefault="00070BBB" w:rsidP="00070BBB">
      <w:pPr>
        <w:rPr>
          <w:rFonts w:cstheme="majorHAnsi"/>
          <w:lang w:val="es-ES_tradnl"/>
        </w:rPr>
      </w:pPr>
      <w:r w:rsidRPr="00070BBB">
        <w:rPr>
          <w:rFonts w:cstheme="majorHAnsi"/>
          <w:lang w:val="es-ES_tradnl"/>
        </w:rPr>
        <w:t xml:space="preserve">ARTÍCULO 115.- </w:t>
      </w:r>
      <w:r w:rsidRPr="00070BBB">
        <w:rPr>
          <w:rFonts w:cstheme="majorHAnsi"/>
          <w:lang w:val="es-ES_tradnl"/>
        </w:rPr>
        <w:tab/>
        <w:t>LOCALIZACIÓN ECA</w:t>
      </w:r>
    </w:p>
    <w:p w14:paraId="55A71E7E" w14:textId="77777777" w:rsidR="00070BBB" w:rsidRPr="00070BBB" w:rsidRDefault="00070BBB" w:rsidP="00070BBB">
      <w:pPr>
        <w:rPr>
          <w:rFonts w:cstheme="majorHAnsi"/>
          <w:lang w:val="es-ES_tradnl"/>
        </w:rPr>
      </w:pPr>
      <w:r w:rsidRPr="00070BBB">
        <w:rPr>
          <w:rFonts w:cstheme="majorHAnsi"/>
          <w:lang w:val="es-ES_tradnl"/>
        </w:rPr>
        <w:t xml:space="preserve">La localización de la infraestructura para la ECA es en el predio identificado con cedula catastral 25878-00-01-0005-0137-000 y las siguientes coordenadas: </w:t>
      </w:r>
    </w:p>
    <w:p w14:paraId="0749BBD7" w14:textId="77777777" w:rsidR="00070BBB" w:rsidRPr="00070BBB" w:rsidRDefault="00070BBB" w:rsidP="00070BBB">
      <w:pPr>
        <w:rPr>
          <w:rFonts w:cstheme="majorHAnsi"/>
          <w:lang w:val="es-ES_tradnl"/>
        </w:rPr>
      </w:pPr>
    </w:p>
    <w:p w14:paraId="058A2E5F" w14:textId="77777777" w:rsidR="00070BBB" w:rsidRPr="00070BBB" w:rsidRDefault="00070BBB" w:rsidP="00070BBB">
      <w:pPr>
        <w:rPr>
          <w:rFonts w:cstheme="majorHAnsi"/>
          <w:lang w:val="es-ES_tradnl"/>
        </w:rPr>
      </w:pPr>
    </w:p>
    <w:p w14:paraId="2121B1AE" w14:textId="77777777" w:rsidR="00070BBB" w:rsidRPr="00070BBB" w:rsidRDefault="00070BBB" w:rsidP="00070BBB">
      <w:pPr>
        <w:rPr>
          <w:rFonts w:cstheme="majorHAnsi"/>
          <w:lang w:val="es-ES_tradnl"/>
        </w:rPr>
      </w:pPr>
      <w:r w:rsidRPr="00070BBB">
        <w:rPr>
          <w:rFonts w:cstheme="majorHAnsi"/>
          <w:lang w:val="es-ES_tradnl"/>
        </w:rPr>
        <w:t xml:space="preserve">ARTÍCULO 116.- </w:t>
      </w:r>
      <w:r w:rsidRPr="00070BBB">
        <w:rPr>
          <w:rFonts w:cstheme="majorHAnsi"/>
          <w:lang w:val="es-ES_tradnl"/>
        </w:rPr>
        <w:tab/>
        <w:t xml:space="preserve">REQUISITOS MÍNIMOS PARA LAS ESTACIONES DE CLASIFICACIÓN Y APROVECHAMIENTO (ECA).  </w:t>
      </w:r>
    </w:p>
    <w:p w14:paraId="24AA1869" w14:textId="77777777" w:rsidR="00070BBB" w:rsidRPr="00070BBB" w:rsidRDefault="00070BBB" w:rsidP="00070BBB">
      <w:pPr>
        <w:rPr>
          <w:rFonts w:cstheme="majorHAnsi"/>
          <w:lang w:val="es-ES_tradnl"/>
        </w:rPr>
      </w:pPr>
    </w:p>
    <w:p w14:paraId="2C773077" w14:textId="77777777" w:rsidR="00070BBB" w:rsidRPr="00070BBB" w:rsidRDefault="00070BBB" w:rsidP="00070BBB">
      <w:pPr>
        <w:rPr>
          <w:rFonts w:cstheme="majorHAnsi"/>
          <w:lang w:val="es-ES_tradnl"/>
        </w:rPr>
      </w:pPr>
      <w:proofErr w:type="gramStart"/>
      <w:r w:rsidRPr="00070BBB">
        <w:rPr>
          <w:rFonts w:cstheme="majorHAnsi"/>
          <w:lang w:val="es-ES_tradnl"/>
        </w:rPr>
        <w:t>De acuerdo a</w:t>
      </w:r>
      <w:proofErr w:type="gramEnd"/>
      <w:r w:rsidRPr="00070BBB">
        <w:rPr>
          <w:rFonts w:cstheme="majorHAnsi"/>
          <w:lang w:val="es-ES_tradnl"/>
        </w:rPr>
        <w:t xml:space="preserve"> lo estipulado en el Decreto 596 de 2016, para el manejo de las estaciones de clasificación y aprovechamiento se deberán cumplir como mínimo con los siguientes requisitos:</w:t>
      </w:r>
    </w:p>
    <w:p w14:paraId="738B012C" w14:textId="77777777" w:rsidR="00070BBB" w:rsidRPr="00070BBB" w:rsidRDefault="00070BBB" w:rsidP="00070BBB">
      <w:pPr>
        <w:rPr>
          <w:rFonts w:cstheme="majorHAnsi"/>
          <w:lang w:val="es-ES_tradnl"/>
        </w:rPr>
      </w:pPr>
      <w:r w:rsidRPr="00070BBB">
        <w:rPr>
          <w:rFonts w:cstheme="majorHAnsi"/>
          <w:lang w:val="es-ES_tradnl"/>
        </w:rPr>
        <w:t xml:space="preserve"> </w:t>
      </w:r>
    </w:p>
    <w:p w14:paraId="36B8DAD0" w14:textId="77777777" w:rsidR="00070BBB" w:rsidRPr="00070BBB" w:rsidRDefault="00070BBB" w:rsidP="00070BBB">
      <w:pPr>
        <w:rPr>
          <w:rFonts w:cstheme="majorHAnsi"/>
          <w:lang w:val="es-ES_tradnl"/>
        </w:rPr>
      </w:pPr>
      <w:r w:rsidRPr="00070BBB">
        <w:rPr>
          <w:rFonts w:cstheme="majorHAnsi"/>
          <w:lang w:val="es-ES_tradnl"/>
        </w:rPr>
        <w:t xml:space="preserve"> 1. Contar con el uso del suelo compatible con la actividad.</w:t>
      </w:r>
    </w:p>
    <w:p w14:paraId="6CAF31B4" w14:textId="77777777" w:rsidR="00070BBB" w:rsidRPr="00070BBB" w:rsidRDefault="00070BBB" w:rsidP="00070BBB">
      <w:pPr>
        <w:rPr>
          <w:rFonts w:cstheme="majorHAnsi"/>
          <w:lang w:val="es-ES_tradnl"/>
        </w:rPr>
      </w:pPr>
      <w:r w:rsidRPr="00070BBB">
        <w:rPr>
          <w:rFonts w:cstheme="majorHAnsi"/>
          <w:lang w:val="es-ES_tradnl"/>
        </w:rPr>
        <w:t xml:space="preserve"> 2. Contar con una zona operativa y de almacenamiento de materiales cubierta y con cerramiento físico con el fin de prevenir o mitigar los impactos sobre el área de influencia.</w:t>
      </w:r>
    </w:p>
    <w:p w14:paraId="1812C5EC" w14:textId="77777777" w:rsidR="00070BBB" w:rsidRPr="00070BBB" w:rsidRDefault="00070BBB" w:rsidP="00070BBB">
      <w:pPr>
        <w:rPr>
          <w:rFonts w:cstheme="majorHAnsi"/>
          <w:lang w:val="es-ES_tradnl"/>
        </w:rPr>
      </w:pPr>
      <w:r w:rsidRPr="00070BBB">
        <w:rPr>
          <w:rFonts w:cstheme="majorHAnsi"/>
          <w:lang w:val="es-ES_tradnl"/>
        </w:rPr>
        <w:t xml:space="preserve"> 3. Contar con el respectivo diagrama de flujo del proceso incluidos la recepción, pesaje y registro.</w:t>
      </w:r>
    </w:p>
    <w:p w14:paraId="233FA835" w14:textId="77777777" w:rsidR="00070BBB" w:rsidRPr="00070BBB" w:rsidRDefault="00070BBB" w:rsidP="00070BBB">
      <w:pPr>
        <w:rPr>
          <w:rFonts w:cstheme="majorHAnsi"/>
          <w:lang w:val="es-ES_tradnl"/>
        </w:rPr>
      </w:pPr>
      <w:r w:rsidRPr="00070BBB">
        <w:rPr>
          <w:rFonts w:cstheme="majorHAnsi"/>
          <w:lang w:val="es-ES_tradnl"/>
        </w:rPr>
        <w:t xml:space="preserve"> 4. Contar con medidas de seguridad industrial.</w:t>
      </w:r>
    </w:p>
    <w:p w14:paraId="5C24B8F1" w14:textId="77777777" w:rsidR="00070BBB" w:rsidRPr="00070BBB" w:rsidRDefault="00070BBB" w:rsidP="00070BBB">
      <w:pPr>
        <w:rPr>
          <w:rFonts w:cstheme="majorHAnsi"/>
          <w:lang w:val="es-ES_tradnl"/>
        </w:rPr>
      </w:pPr>
      <w:r w:rsidRPr="00070BBB">
        <w:rPr>
          <w:rFonts w:cstheme="majorHAnsi"/>
          <w:lang w:val="es-ES_tradnl"/>
        </w:rPr>
        <w:t xml:space="preserve"> 5. Contar con áreas para:</w:t>
      </w:r>
    </w:p>
    <w:p w14:paraId="07D7DE87" w14:textId="77777777" w:rsidR="00070BBB" w:rsidRPr="00070BBB" w:rsidRDefault="00070BBB" w:rsidP="00070BBB">
      <w:pPr>
        <w:rPr>
          <w:rFonts w:cstheme="majorHAnsi"/>
          <w:lang w:val="es-ES_tradnl"/>
        </w:rPr>
      </w:pPr>
      <w:r w:rsidRPr="00070BBB">
        <w:rPr>
          <w:rFonts w:cstheme="majorHAnsi"/>
          <w:lang w:val="es-ES_tradnl"/>
        </w:rPr>
        <w:t>– Administración</w:t>
      </w:r>
    </w:p>
    <w:p w14:paraId="7F80A6DF" w14:textId="77777777" w:rsidR="00070BBB" w:rsidRPr="00070BBB" w:rsidRDefault="00070BBB" w:rsidP="00070BBB">
      <w:pPr>
        <w:rPr>
          <w:rFonts w:cstheme="majorHAnsi"/>
          <w:lang w:val="es-ES_tradnl"/>
        </w:rPr>
      </w:pPr>
      <w:r w:rsidRPr="00070BBB">
        <w:rPr>
          <w:rFonts w:cstheme="majorHAnsi"/>
          <w:lang w:val="es-ES_tradnl"/>
        </w:rPr>
        <w:t>– Recepción</w:t>
      </w:r>
    </w:p>
    <w:p w14:paraId="058EC44F" w14:textId="77777777" w:rsidR="00070BBB" w:rsidRPr="00070BBB" w:rsidRDefault="00070BBB" w:rsidP="00070BBB">
      <w:pPr>
        <w:rPr>
          <w:rFonts w:cstheme="majorHAnsi"/>
          <w:lang w:val="es-ES_tradnl"/>
        </w:rPr>
      </w:pPr>
      <w:r w:rsidRPr="00070BBB">
        <w:rPr>
          <w:rFonts w:cstheme="majorHAnsi"/>
          <w:lang w:val="es-ES_tradnl"/>
        </w:rPr>
        <w:t xml:space="preserve"> – Pesaje</w:t>
      </w:r>
    </w:p>
    <w:p w14:paraId="510DB196" w14:textId="77777777" w:rsidR="00070BBB" w:rsidRPr="00070BBB" w:rsidRDefault="00070BBB" w:rsidP="00070BBB">
      <w:pPr>
        <w:rPr>
          <w:rFonts w:cstheme="majorHAnsi"/>
          <w:lang w:val="es-ES_tradnl"/>
        </w:rPr>
      </w:pPr>
      <w:r w:rsidRPr="00070BBB">
        <w:rPr>
          <w:rFonts w:cstheme="majorHAnsi"/>
          <w:lang w:val="es-ES_tradnl"/>
        </w:rPr>
        <w:lastRenderedPageBreak/>
        <w:t>– Selección y clasificación</w:t>
      </w:r>
    </w:p>
    <w:p w14:paraId="1562ABC0" w14:textId="77777777" w:rsidR="00070BBB" w:rsidRPr="00070BBB" w:rsidRDefault="00070BBB" w:rsidP="00070BBB">
      <w:pPr>
        <w:rPr>
          <w:rFonts w:cstheme="majorHAnsi"/>
          <w:lang w:val="es-ES_tradnl"/>
        </w:rPr>
      </w:pPr>
      <w:r w:rsidRPr="00070BBB">
        <w:rPr>
          <w:rFonts w:cstheme="majorHAnsi"/>
          <w:lang w:val="es-ES_tradnl"/>
        </w:rPr>
        <w:t>– Almacenamiento temporal de materiales aprovechables</w:t>
      </w:r>
    </w:p>
    <w:p w14:paraId="05639994" w14:textId="77777777" w:rsidR="00070BBB" w:rsidRPr="00070BBB" w:rsidRDefault="00070BBB" w:rsidP="00070BBB">
      <w:pPr>
        <w:rPr>
          <w:rFonts w:cstheme="majorHAnsi"/>
          <w:lang w:val="es-ES_tradnl"/>
        </w:rPr>
      </w:pPr>
      <w:r w:rsidRPr="00070BBB">
        <w:rPr>
          <w:rFonts w:cstheme="majorHAnsi"/>
          <w:lang w:val="es-ES_tradnl"/>
        </w:rPr>
        <w:t>– Almacenamiento temporal para materiales de rechazo incluidos aquellos de rápida biodegradación.</w:t>
      </w:r>
    </w:p>
    <w:p w14:paraId="5907786A" w14:textId="77777777" w:rsidR="00070BBB" w:rsidRPr="00070BBB" w:rsidRDefault="00070BBB" w:rsidP="00070BBB">
      <w:pPr>
        <w:rPr>
          <w:rFonts w:cstheme="majorHAnsi"/>
          <w:lang w:val="es-ES_tradnl"/>
        </w:rPr>
      </w:pPr>
      <w:r w:rsidRPr="00070BBB">
        <w:rPr>
          <w:rFonts w:cstheme="majorHAnsi"/>
          <w:lang w:val="es-ES_tradnl"/>
        </w:rPr>
        <w:t xml:space="preserve"> 6. Contar con instrumentos de pesaje debidamente calibrados de acuerdo con lo dispuesto en el Decreto número 1074 de 2015 “por medio del cual se expide el Decreto Único Reglamentario del Sector Comercio, Industria y Turismo”.</w:t>
      </w:r>
    </w:p>
    <w:p w14:paraId="0EA35673" w14:textId="77777777" w:rsidR="00070BBB" w:rsidRPr="00070BBB" w:rsidRDefault="00070BBB" w:rsidP="00070BBB">
      <w:pPr>
        <w:rPr>
          <w:rFonts w:cstheme="majorHAnsi"/>
          <w:lang w:val="es-ES_tradnl"/>
        </w:rPr>
      </w:pPr>
      <w:r w:rsidRPr="00070BBB">
        <w:rPr>
          <w:rFonts w:cstheme="majorHAnsi"/>
          <w:lang w:val="es-ES_tradnl"/>
        </w:rPr>
        <w:t xml:space="preserve"> 7. Contar con un sistema de control de emisión de olores.</w:t>
      </w:r>
    </w:p>
    <w:p w14:paraId="2B382862" w14:textId="77777777" w:rsidR="00070BBB" w:rsidRPr="00070BBB" w:rsidRDefault="00070BBB" w:rsidP="00070BBB">
      <w:pPr>
        <w:rPr>
          <w:rFonts w:cstheme="majorHAnsi"/>
          <w:lang w:val="es-ES_tradnl"/>
        </w:rPr>
      </w:pPr>
      <w:r w:rsidRPr="00070BBB">
        <w:rPr>
          <w:rFonts w:cstheme="majorHAnsi"/>
          <w:lang w:val="es-ES_tradnl"/>
        </w:rPr>
        <w:t xml:space="preserve"> 8. Contar con un sistema de prevención y control de incendios.</w:t>
      </w:r>
    </w:p>
    <w:p w14:paraId="247210B1" w14:textId="77777777" w:rsidR="00070BBB" w:rsidRPr="00070BBB" w:rsidRDefault="00070BBB" w:rsidP="00070BBB">
      <w:pPr>
        <w:rPr>
          <w:rFonts w:cstheme="majorHAnsi"/>
          <w:lang w:val="es-ES_tradnl"/>
        </w:rPr>
      </w:pPr>
      <w:r w:rsidRPr="00070BBB">
        <w:rPr>
          <w:rFonts w:cstheme="majorHAnsi"/>
          <w:lang w:val="es-ES_tradnl"/>
        </w:rPr>
        <w:t xml:space="preserve"> 9. Contar con sistemas de drenaje para las aguas lluvias y escorrentía.</w:t>
      </w:r>
    </w:p>
    <w:p w14:paraId="46F72F04" w14:textId="77777777" w:rsidR="00070BBB" w:rsidRPr="00070BBB" w:rsidRDefault="00070BBB" w:rsidP="00070BBB">
      <w:pPr>
        <w:rPr>
          <w:rFonts w:cstheme="majorHAnsi"/>
          <w:lang w:val="es-ES_tradnl"/>
        </w:rPr>
      </w:pPr>
      <w:r w:rsidRPr="00070BBB">
        <w:rPr>
          <w:rFonts w:cstheme="majorHAnsi"/>
          <w:lang w:val="es-ES_tradnl"/>
        </w:rPr>
        <w:t>10. Contar con sistema de recolección y tratamiento de lixiviados cuando sea del caso.</w:t>
      </w:r>
    </w:p>
    <w:p w14:paraId="13D388B1" w14:textId="77777777" w:rsidR="00070BBB" w:rsidRPr="00070BBB" w:rsidRDefault="00070BBB" w:rsidP="00070BBB">
      <w:pPr>
        <w:rPr>
          <w:rFonts w:cstheme="majorHAnsi"/>
          <w:lang w:val="es-ES_tradnl"/>
        </w:rPr>
      </w:pPr>
      <w:r w:rsidRPr="00070BBB">
        <w:rPr>
          <w:rFonts w:cstheme="majorHAnsi"/>
          <w:lang w:val="es-ES_tradnl"/>
        </w:rPr>
        <w:t xml:space="preserve"> 11. Contar con pisos rígidos y las paredes que permitan su aseo, desinfección periódica y mantenimiento mediante el lavado.</w:t>
      </w:r>
    </w:p>
    <w:p w14:paraId="352FB8C8" w14:textId="77777777" w:rsidR="00070BBB" w:rsidRPr="00070BBB" w:rsidRDefault="00070BBB" w:rsidP="00070BBB">
      <w:pPr>
        <w:rPr>
          <w:rFonts w:cstheme="majorHAnsi"/>
          <w:lang w:val="es-ES_tradnl"/>
        </w:rPr>
      </w:pPr>
      <w:r w:rsidRPr="00070BBB">
        <w:rPr>
          <w:rFonts w:cstheme="majorHAnsi"/>
          <w:lang w:val="es-ES_tradnl"/>
        </w:rPr>
        <w:t xml:space="preserve"> 12. Estar vinculado al servicio público de aseo como usuario, para efectos de la presentación y entrega de rechazos con destino a disposición final.</w:t>
      </w:r>
    </w:p>
    <w:p w14:paraId="094FE985" w14:textId="77777777" w:rsidR="00A450FF" w:rsidRDefault="00A450FF" w:rsidP="00070BBB">
      <w:pPr>
        <w:rPr>
          <w:rFonts w:cstheme="majorHAnsi"/>
          <w:lang w:val="es-ES_tradnl"/>
        </w:rPr>
      </w:pPr>
    </w:p>
    <w:p w14:paraId="02D09944" w14:textId="74D42302" w:rsidR="00070BBB" w:rsidRPr="00070BBB" w:rsidRDefault="00070BBB" w:rsidP="00070BBB">
      <w:pPr>
        <w:rPr>
          <w:rFonts w:cstheme="majorHAnsi"/>
          <w:lang w:val="es-ES_tradnl"/>
        </w:rPr>
      </w:pPr>
      <w:r w:rsidRPr="00070BBB">
        <w:rPr>
          <w:rFonts w:cstheme="majorHAnsi"/>
          <w:lang w:val="es-ES_tradnl"/>
        </w:rPr>
        <w:t xml:space="preserve">ARTÍCULO 117.- </w:t>
      </w:r>
      <w:r w:rsidRPr="00070BBB">
        <w:rPr>
          <w:rFonts w:cstheme="majorHAnsi"/>
          <w:lang w:val="es-ES_tradnl"/>
        </w:rPr>
        <w:tab/>
        <w:t>LOCALIZACIÓN DE LAS ESTACIONES DE CLASIFICACIÓN Y APROVECHAMIENTO.</w:t>
      </w:r>
    </w:p>
    <w:p w14:paraId="1794798E" w14:textId="77777777" w:rsidR="00070BBB" w:rsidRPr="00070BBB" w:rsidRDefault="00070BBB" w:rsidP="00070BBB">
      <w:pPr>
        <w:rPr>
          <w:rFonts w:cstheme="majorHAnsi"/>
          <w:lang w:val="es-ES_tradnl"/>
        </w:rPr>
      </w:pPr>
      <w:r w:rsidRPr="00070BBB">
        <w:rPr>
          <w:rFonts w:cstheme="majorHAnsi"/>
          <w:lang w:val="es-ES_tradnl"/>
        </w:rPr>
        <w:t>Las estaciones de clasificación y aprovechamiento deberán localizarse en áreas de actividad suburbana industrial y en usos de suelo urbano comercio grupo 3, y su localización quedara condicionada a cumplir los requisitos mínimos expresados en el Artículo anterior.</w:t>
      </w:r>
    </w:p>
    <w:p w14:paraId="752FDA16" w14:textId="77777777" w:rsidR="00A450FF" w:rsidRDefault="00A450FF" w:rsidP="00070BBB">
      <w:pPr>
        <w:rPr>
          <w:rFonts w:cstheme="majorHAnsi"/>
          <w:lang w:val="es-ES_tradnl"/>
        </w:rPr>
      </w:pPr>
    </w:p>
    <w:p w14:paraId="36080ABD" w14:textId="59BE50D5" w:rsidR="00070BBB" w:rsidRPr="00A450FF" w:rsidRDefault="00070BBB" w:rsidP="00070BBB">
      <w:pPr>
        <w:rPr>
          <w:rFonts w:cstheme="majorHAnsi"/>
          <w:b/>
          <w:bCs/>
          <w:lang w:val="es-ES_tradnl"/>
        </w:rPr>
      </w:pPr>
      <w:r w:rsidRPr="00A450FF">
        <w:rPr>
          <w:rFonts w:cstheme="majorHAnsi"/>
          <w:b/>
          <w:bCs/>
          <w:lang w:val="es-ES_tradnl"/>
        </w:rPr>
        <w:t xml:space="preserve">ARTÍCULO 118.- </w:t>
      </w:r>
      <w:r w:rsidRPr="00A450FF">
        <w:rPr>
          <w:rFonts w:cstheme="majorHAnsi"/>
          <w:b/>
          <w:bCs/>
          <w:lang w:val="es-ES_tradnl"/>
        </w:rPr>
        <w:tab/>
        <w:t xml:space="preserve">RELLENO SANITARIO. </w:t>
      </w:r>
    </w:p>
    <w:p w14:paraId="6D90D072" w14:textId="77777777" w:rsidR="00070BBB" w:rsidRPr="00070BBB" w:rsidRDefault="00070BBB" w:rsidP="00070BBB">
      <w:pPr>
        <w:rPr>
          <w:rFonts w:cstheme="majorHAnsi"/>
          <w:lang w:val="es-ES_tradnl"/>
        </w:rPr>
      </w:pPr>
      <w:r w:rsidRPr="00070BBB">
        <w:rPr>
          <w:rFonts w:cstheme="majorHAnsi"/>
          <w:lang w:val="es-ES_tradnl"/>
        </w:rPr>
        <w:t xml:space="preserve">El Municipio no habilitará una zona o polígono determinado para la disposición de residuos sólidos, en su lugar se continuará transportando y disponiendo los residuos sólidos generados al Relleno Sanitario localizado en el Municipio de Girardot en concordancia con lo estipulado en el acto administrativo que lo licencia. </w:t>
      </w:r>
    </w:p>
    <w:p w14:paraId="679992CF" w14:textId="77777777" w:rsidR="00070BBB" w:rsidRPr="00070BBB" w:rsidRDefault="00070BBB" w:rsidP="00070BBB">
      <w:pPr>
        <w:rPr>
          <w:rFonts w:cstheme="majorHAnsi"/>
          <w:lang w:val="es-ES_tradnl"/>
        </w:rPr>
      </w:pPr>
    </w:p>
    <w:p w14:paraId="09A1F089" w14:textId="77777777" w:rsidR="00070BBB" w:rsidRPr="00070BBB" w:rsidRDefault="00070BBB" w:rsidP="00070BBB">
      <w:pPr>
        <w:rPr>
          <w:rFonts w:cstheme="majorHAnsi"/>
          <w:lang w:val="es-ES_tradnl"/>
        </w:rPr>
      </w:pPr>
      <w:r w:rsidRPr="00070BBB">
        <w:rPr>
          <w:rFonts w:cstheme="majorHAnsi"/>
          <w:lang w:val="es-ES_tradnl"/>
        </w:rPr>
        <w:t xml:space="preserve">ARTÍCULO 119.- </w:t>
      </w:r>
      <w:r w:rsidRPr="00070BBB">
        <w:rPr>
          <w:rFonts w:cstheme="majorHAnsi"/>
          <w:lang w:val="es-ES_tradnl"/>
        </w:rPr>
        <w:tab/>
        <w:t xml:space="preserve">ESCOMBRERA MUNICIPAL. </w:t>
      </w:r>
    </w:p>
    <w:p w14:paraId="24956960" w14:textId="77777777" w:rsidR="00070BBB" w:rsidRPr="00070BBB" w:rsidRDefault="00070BBB" w:rsidP="00070BBB">
      <w:pPr>
        <w:rPr>
          <w:rFonts w:cstheme="majorHAnsi"/>
          <w:lang w:val="es-ES_tradnl"/>
        </w:rPr>
      </w:pPr>
      <w:r w:rsidRPr="00070BBB">
        <w:rPr>
          <w:rFonts w:cstheme="majorHAnsi"/>
          <w:lang w:val="es-ES_tradnl"/>
        </w:rPr>
        <w:lastRenderedPageBreak/>
        <w:t>Se refiere al polígono o zona determinada por el Municipio para la disposición ambientalmente segura de elementos como escombros, concretos o agregados sueltos de construcción, demolición y capa orgánica, suelo, subsuelo y de excavación.</w:t>
      </w:r>
    </w:p>
    <w:p w14:paraId="5973ED12" w14:textId="77777777" w:rsidR="00070BBB" w:rsidRPr="00070BBB" w:rsidRDefault="00070BBB" w:rsidP="00070BBB">
      <w:pPr>
        <w:rPr>
          <w:rFonts w:cstheme="majorHAnsi"/>
          <w:lang w:val="es-ES_tradnl"/>
        </w:rPr>
      </w:pPr>
    </w:p>
    <w:p w14:paraId="4F5AB6C3" w14:textId="77777777" w:rsidR="00070BBB" w:rsidRPr="00070BBB" w:rsidRDefault="00070BBB" w:rsidP="00070BBB">
      <w:pPr>
        <w:rPr>
          <w:rFonts w:cstheme="majorHAnsi"/>
          <w:lang w:val="es-ES_tradnl"/>
        </w:rPr>
      </w:pPr>
      <w:r w:rsidRPr="00070BBB">
        <w:rPr>
          <w:rFonts w:cstheme="majorHAnsi"/>
          <w:lang w:val="es-ES_tradnl"/>
        </w:rPr>
        <w:t>Parágrafo 1.  Los predios destinados para la disposición final de RCD se encuentra localizados e identificados con cédula catastral No. 258780002000000110006000000000 y No. 258780002000000090033000000000.</w:t>
      </w:r>
    </w:p>
    <w:p w14:paraId="66222DE8" w14:textId="77777777" w:rsidR="00070BBB" w:rsidRPr="00070BBB" w:rsidRDefault="00070BBB" w:rsidP="00070BBB">
      <w:pPr>
        <w:rPr>
          <w:rFonts w:cstheme="majorHAnsi"/>
          <w:lang w:val="es-ES_tradnl"/>
        </w:rPr>
      </w:pPr>
    </w:p>
    <w:p w14:paraId="4847F9AB" w14:textId="77777777" w:rsidR="00070BBB" w:rsidRPr="00070BBB" w:rsidRDefault="00070BBB" w:rsidP="00070BBB">
      <w:pPr>
        <w:rPr>
          <w:rFonts w:cstheme="majorHAnsi"/>
          <w:lang w:val="es-ES_tradnl"/>
        </w:rPr>
      </w:pPr>
      <w:r w:rsidRPr="00070BBB">
        <w:rPr>
          <w:rFonts w:cstheme="majorHAnsi"/>
          <w:lang w:val="es-ES_tradnl"/>
        </w:rPr>
        <w:t>Parágrafo 2. Las actividades y recursos financieros definidos en cualquier proyecto de expansión a desarrollarse y que requieran manejo de residuos sólidos, deberán estar acordes con lo formulado en el PGIRS del municipio.</w:t>
      </w:r>
    </w:p>
    <w:p w14:paraId="557630CF" w14:textId="77777777" w:rsidR="00A450FF" w:rsidRDefault="00A450FF" w:rsidP="00070BBB">
      <w:pPr>
        <w:rPr>
          <w:rFonts w:cstheme="majorHAnsi"/>
          <w:lang w:val="es-ES_tradnl"/>
        </w:rPr>
      </w:pPr>
    </w:p>
    <w:p w14:paraId="0C41ED8A" w14:textId="47CE6E9C" w:rsidR="00070BBB" w:rsidRPr="00070BBB" w:rsidRDefault="00070BBB" w:rsidP="00070BBB">
      <w:pPr>
        <w:rPr>
          <w:rFonts w:cstheme="majorHAnsi"/>
          <w:lang w:val="es-ES_tradnl"/>
        </w:rPr>
      </w:pPr>
      <w:r w:rsidRPr="00070BBB">
        <w:rPr>
          <w:rFonts w:cstheme="majorHAnsi"/>
          <w:lang w:val="es-ES_tradnl"/>
        </w:rPr>
        <w:t xml:space="preserve">ARTÍCULO 120.- </w:t>
      </w:r>
      <w:r w:rsidRPr="00070BBB">
        <w:rPr>
          <w:rFonts w:cstheme="majorHAnsi"/>
          <w:lang w:val="es-ES_tradnl"/>
        </w:rPr>
        <w:tab/>
        <w:t>RESIDUOS PELIGROSOSOS</w:t>
      </w:r>
    </w:p>
    <w:p w14:paraId="5842877F" w14:textId="77777777" w:rsidR="00070BBB" w:rsidRPr="00070BBB" w:rsidRDefault="00070BBB" w:rsidP="00070BBB">
      <w:pPr>
        <w:rPr>
          <w:rFonts w:cstheme="majorHAnsi"/>
          <w:lang w:val="es-ES_tradnl"/>
        </w:rPr>
      </w:pPr>
      <w:r w:rsidRPr="00070BBB">
        <w:rPr>
          <w:rFonts w:cstheme="majorHAnsi"/>
          <w:lang w:val="es-ES_tradnl"/>
        </w:rPr>
        <w:t>Los residuos peligrosos son aquellos reconocidos en el Decreto 4741 de 2005 o la norma que lo modifique o sustituya, así como también todos aquellos que se vean mezclados con estos residuos o desechos.</w:t>
      </w:r>
    </w:p>
    <w:p w14:paraId="0B54EE1A" w14:textId="77777777" w:rsidR="00070BBB" w:rsidRPr="00070BBB" w:rsidRDefault="00070BBB" w:rsidP="00070BBB">
      <w:pPr>
        <w:rPr>
          <w:rFonts w:cstheme="majorHAnsi"/>
          <w:lang w:val="es-ES_tradnl"/>
        </w:rPr>
      </w:pPr>
    </w:p>
    <w:p w14:paraId="543F228D" w14:textId="77777777" w:rsidR="00070BBB" w:rsidRPr="00070BBB" w:rsidRDefault="00070BBB" w:rsidP="00070BBB">
      <w:pPr>
        <w:rPr>
          <w:rFonts w:cstheme="majorHAnsi"/>
          <w:lang w:val="es-ES_tradnl"/>
        </w:rPr>
      </w:pPr>
      <w:r w:rsidRPr="00070BBB">
        <w:rPr>
          <w:rFonts w:cstheme="majorHAnsi"/>
          <w:lang w:val="es-ES_tradnl"/>
        </w:rPr>
        <w:t>Parágrafo: El generador de los residuos o desechos peligrosos deberá garantizar la gestión y manejo de integral de sus RESPEL de acuerdo con el PGIR para desechos y/o residuos peligrosos donde se documente el origen, cantidad, características de peligrosidad y manejo que se dé a los residuos o desechos peligrosos, un plan de contingencia y plan de cierre; debe garantizar que el envasado o empacado, embalado y etiquetado de los RESPEL se realice conforme a la norma vigente; debe suministrar al transportista las hojas de seguridad correspondientes a los RESPEL generados; debe registrarse y mantener la información actualizada ante la autoridad ambiental frente a las características de los residuos o desechos generados.</w:t>
      </w:r>
    </w:p>
    <w:p w14:paraId="2B48024B" w14:textId="77777777" w:rsidR="00A450FF" w:rsidRDefault="00A450FF" w:rsidP="00070BBB">
      <w:pPr>
        <w:rPr>
          <w:rFonts w:cstheme="majorHAnsi"/>
          <w:lang w:val="es-ES_tradnl"/>
        </w:rPr>
      </w:pPr>
    </w:p>
    <w:p w14:paraId="151D6387" w14:textId="323B62BF" w:rsidR="00070BBB" w:rsidRPr="00070BBB" w:rsidRDefault="00070BBB" w:rsidP="00070BBB">
      <w:pPr>
        <w:rPr>
          <w:rFonts w:cstheme="majorHAnsi"/>
          <w:lang w:val="es-ES_tradnl"/>
        </w:rPr>
      </w:pPr>
      <w:r w:rsidRPr="00070BBB">
        <w:rPr>
          <w:rFonts w:cstheme="majorHAnsi"/>
          <w:lang w:val="es-ES_tradnl"/>
        </w:rPr>
        <w:t xml:space="preserve">ARTÍCULO 121.- </w:t>
      </w:r>
      <w:r w:rsidRPr="00070BBB">
        <w:rPr>
          <w:rFonts w:cstheme="majorHAnsi"/>
          <w:lang w:val="es-ES_tradnl"/>
        </w:rPr>
        <w:tab/>
        <w:t>TRANSPORTE DE LOS RESIDUOS PELIGROSOS</w:t>
      </w:r>
    </w:p>
    <w:p w14:paraId="237FDF87" w14:textId="77777777" w:rsidR="00070BBB" w:rsidRPr="00070BBB" w:rsidRDefault="00070BBB" w:rsidP="00070BBB">
      <w:pPr>
        <w:rPr>
          <w:rFonts w:cstheme="majorHAnsi"/>
          <w:lang w:val="es-ES_tradnl"/>
        </w:rPr>
      </w:pPr>
      <w:r w:rsidRPr="00070BBB">
        <w:rPr>
          <w:rFonts w:cstheme="majorHAnsi"/>
          <w:lang w:val="es-ES_tradnl"/>
        </w:rPr>
        <w:lastRenderedPageBreak/>
        <w:t>Para el transporte de residuos o desechos peligrosos el municipio deberá tener en cuenta las medidas especificadas del Decreto 1609 de 2002 o la norma que lo modifique o sustituya, en cuanto a manejo de la carga, requisitos de la unidad de transporte y vehículo de carga destinado al transporte de mercancías peligrosas y obligaciones de los actores de la cadena del transporte, así como las medidas de control, prevención y demás disposiciones.</w:t>
      </w:r>
    </w:p>
    <w:p w14:paraId="56A88325" w14:textId="048CC6F9" w:rsidR="00070BBB" w:rsidRDefault="00070BBB">
      <w:pPr>
        <w:rPr>
          <w:rFonts w:cstheme="majorHAnsi"/>
          <w:lang w:val="es-ES_tradnl"/>
        </w:rPr>
      </w:pPr>
    </w:p>
    <w:p w14:paraId="27B9FC20" w14:textId="2060A253" w:rsidR="00A450FF" w:rsidRDefault="00A450FF">
      <w:pPr>
        <w:rPr>
          <w:rFonts w:cstheme="majorHAnsi"/>
          <w:b/>
          <w:bCs/>
          <w:lang w:val="es-ES_tradnl"/>
        </w:rPr>
      </w:pPr>
      <w:r w:rsidRPr="00A450FF">
        <w:rPr>
          <w:rFonts w:cstheme="majorHAnsi"/>
          <w:b/>
          <w:bCs/>
          <w:lang w:val="es-ES_tradnl"/>
        </w:rPr>
        <w:t>CARTOGRAFÍA</w:t>
      </w:r>
    </w:p>
    <w:p w14:paraId="363FFC48" w14:textId="4FBE347E" w:rsidR="00A450FF" w:rsidRDefault="00A450FF">
      <w:pPr>
        <w:rPr>
          <w:rFonts w:cstheme="majorHAnsi"/>
          <w:b/>
          <w:bCs/>
          <w:lang w:val="es-ES_tradnl"/>
        </w:rPr>
      </w:pPr>
    </w:p>
    <w:p w14:paraId="771473C1" w14:textId="31F75677" w:rsidR="00A450FF" w:rsidRPr="00A450FF" w:rsidRDefault="00A450FF">
      <w:pPr>
        <w:rPr>
          <w:rFonts w:cstheme="majorHAnsi"/>
          <w:b/>
          <w:bCs/>
          <w:lang w:val="es-ES_tradnl"/>
        </w:rPr>
      </w:pPr>
      <w:r w:rsidRPr="00A450FF">
        <w:rPr>
          <w:rFonts w:cstheme="majorHAnsi"/>
          <w:b/>
          <w:bCs/>
          <w:lang w:val="es-ES_tradnl"/>
        </w:rPr>
        <w:t>FR - 16.1.1 MAPA DE INFRAESTRUCTURA RURAL DE SERVICIOS PÚBLICOS RURALES</w:t>
      </w:r>
    </w:p>
    <w:p w14:paraId="186AAF80" w14:textId="217B77E5" w:rsidR="00A450FF" w:rsidRPr="00070BBB" w:rsidRDefault="00A450FF">
      <w:pPr>
        <w:rPr>
          <w:rFonts w:cstheme="majorHAnsi"/>
          <w:lang w:val="es-ES_tradnl"/>
        </w:rPr>
      </w:pPr>
      <w:r w:rsidRPr="00A450FF">
        <w:rPr>
          <w:rFonts w:cstheme="majorHAnsi"/>
          <w:lang w:val="es-ES_tradnl"/>
        </w:rPr>
        <w:drawing>
          <wp:inline distT="0" distB="0" distL="0" distR="0" wp14:anchorId="18B35061" wp14:editId="0244B1AB">
            <wp:extent cx="5612130" cy="397954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979545"/>
                    </a:xfrm>
                    <a:prstGeom prst="rect">
                      <a:avLst/>
                    </a:prstGeom>
                  </pic:spPr>
                </pic:pic>
              </a:graphicData>
            </a:graphic>
          </wp:inline>
        </w:drawing>
      </w:r>
    </w:p>
    <w:sectPr w:rsidR="00A450FF" w:rsidRPr="00070BB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MT">
    <w:altName w:val="Arial"/>
    <w:panose1 w:val="020B0604020202020204"/>
    <w:charset w:val="01"/>
    <w:family w:val="swiss"/>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90C01"/>
    <w:multiLevelType w:val="multilevel"/>
    <w:tmpl w:val="99409AC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D187D82"/>
    <w:multiLevelType w:val="multilevel"/>
    <w:tmpl w:val="CA7EBFA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E84136F"/>
    <w:multiLevelType w:val="multilevel"/>
    <w:tmpl w:val="306A9F76"/>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3" w15:restartNumberingAfterBreak="0">
    <w:nsid w:val="0F433EEA"/>
    <w:multiLevelType w:val="multilevel"/>
    <w:tmpl w:val="399EDCA4"/>
    <w:lvl w:ilvl="0">
      <w:start w:val="1"/>
      <w:numFmt w:val="decimal"/>
      <w:isLgl/>
      <w:lvlText w:val="%1"/>
      <w:lvlJc w:val="left"/>
      <w:pPr>
        <w:ind w:left="1944" w:hanging="432"/>
      </w:pPr>
      <w:rPr>
        <w:rFonts w:hint="default"/>
      </w:rPr>
    </w:lvl>
    <w:lvl w:ilvl="1">
      <w:start w:val="1"/>
      <w:numFmt w:val="decimal"/>
      <w:isLgl/>
      <w:lvlText w:val="%1.%2"/>
      <w:lvlJc w:val="left"/>
      <w:pPr>
        <w:ind w:left="2088"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232" w:hanging="720"/>
      </w:pPr>
      <w:rPr>
        <w:rFonts w:hint="default"/>
      </w:rPr>
    </w:lvl>
    <w:lvl w:ilvl="3">
      <w:start w:val="1"/>
      <w:numFmt w:val="decimal"/>
      <w:lvlText w:val="%1.%2.%3.%4"/>
      <w:lvlJc w:val="left"/>
      <w:pPr>
        <w:ind w:left="2376" w:hanging="864"/>
      </w:pPr>
      <w:rPr>
        <w:rFonts w:hint="default"/>
      </w:rPr>
    </w:lvl>
    <w:lvl w:ilvl="4">
      <w:start w:val="1"/>
      <w:numFmt w:val="decimal"/>
      <w:lvlText w:val="%1.%2.%3.%4.%5"/>
      <w:lvlJc w:val="left"/>
      <w:pPr>
        <w:ind w:left="2520" w:hanging="1008"/>
      </w:pPr>
      <w:rPr>
        <w:rFonts w:hint="default"/>
      </w:rPr>
    </w:lvl>
    <w:lvl w:ilvl="5">
      <w:start w:val="1"/>
      <w:numFmt w:val="decimal"/>
      <w:lvlText w:val="%1.%2.%3.%4.%5.%6"/>
      <w:lvlJc w:val="left"/>
      <w:pPr>
        <w:ind w:left="2664" w:hanging="1152"/>
      </w:pPr>
      <w:rPr>
        <w:rFonts w:hint="default"/>
      </w:rPr>
    </w:lvl>
    <w:lvl w:ilvl="6">
      <w:start w:val="1"/>
      <w:numFmt w:val="decimal"/>
      <w:lvlText w:val="%1.%2.%3.%4.%5.%6.%7"/>
      <w:lvlJc w:val="left"/>
      <w:pPr>
        <w:ind w:left="2808" w:hanging="1296"/>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096" w:hanging="1584"/>
      </w:pPr>
      <w:rPr>
        <w:rFonts w:hint="default"/>
      </w:rPr>
    </w:lvl>
  </w:abstractNum>
  <w:abstractNum w:abstractNumId="4" w15:restartNumberingAfterBreak="0">
    <w:nsid w:val="11687962"/>
    <w:multiLevelType w:val="multilevel"/>
    <w:tmpl w:val="600E4D28"/>
    <w:lvl w:ilvl="0">
      <w:start w:val="1"/>
      <w:numFmt w:val="decimal"/>
      <w:lvlText w:val="%1."/>
      <w:lvlJc w:val="left"/>
      <w:pPr>
        <w:ind w:left="360" w:hanging="360"/>
      </w:pPr>
    </w:lvl>
    <w:lvl w:ilvl="1">
      <w:start w:val="1"/>
      <w:numFmt w:val="decimal"/>
      <w:lvlText w:val="%1.%2."/>
      <w:lvlJc w:val="left"/>
      <w:pPr>
        <w:ind w:left="792" w:hanging="432"/>
      </w:pPr>
      <w:rPr>
        <w:b/>
        <w:color w:val="auto"/>
      </w:rPr>
    </w:lvl>
    <w:lvl w:ilvl="2">
      <w:start w:val="1"/>
      <w:numFmt w:val="decimal"/>
      <w:lvlText w:val="%1.%2.%3."/>
      <w:lvlJc w:val="left"/>
      <w:pPr>
        <w:ind w:left="1224" w:hanging="504"/>
      </w:pPr>
      <w:rPr>
        <w:rFonts w:ascii="Arial" w:hAnsi="Arial" w:cs="Arial" w:hint="default"/>
        <w:b/>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04192C"/>
    <w:multiLevelType w:val="multilevel"/>
    <w:tmpl w:val="317A5E1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B8B5481"/>
    <w:multiLevelType w:val="multilevel"/>
    <w:tmpl w:val="C4023868"/>
    <w:lvl w:ilvl="0">
      <w:start w:val="1"/>
      <w:numFmt w:val="decimal"/>
      <w:isLgl/>
      <w:lvlText w:val="%1"/>
      <w:lvlJc w:val="left"/>
      <w:pPr>
        <w:ind w:left="792" w:hanging="432"/>
      </w:pPr>
      <w:rPr>
        <w:rFonts w:hint="default"/>
      </w:rPr>
    </w:lvl>
    <w:lvl w:ilvl="1">
      <w:start w:val="1"/>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24" w:hanging="864"/>
      </w:pPr>
      <w:rPr>
        <w:rFonts w:hint="default"/>
      </w:rPr>
    </w:lvl>
    <w:lvl w:ilvl="4">
      <w:start w:val="1"/>
      <w:numFmt w:val="decimal"/>
      <w:lvlText w:val="%1.%2.%3.%4.%5"/>
      <w:lvlJc w:val="left"/>
      <w:pPr>
        <w:ind w:left="1368" w:hanging="1008"/>
      </w:pPr>
      <w:rPr>
        <w:rFonts w:hint="default"/>
      </w:rPr>
    </w:lvl>
    <w:lvl w:ilvl="5">
      <w:start w:val="1"/>
      <w:numFmt w:val="decimal"/>
      <w:lvlText w:val="%1.%2.%3.%4.%5.%6"/>
      <w:lvlJc w:val="left"/>
      <w:pPr>
        <w:ind w:left="1512" w:hanging="1152"/>
      </w:pPr>
      <w:rPr>
        <w:rFonts w:hint="default"/>
      </w:rPr>
    </w:lvl>
    <w:lvl w:ilvl="6">
      <w:start w:val="1"/>
      <w:numFmt w:val="decimal"/>
      <w:lvlText w:val="%1.%2.%3.%4.%5.%6.%7"/>
      <w:lvlJc w:val="left"/>
      <w:pPr>
        <w:ind w:left="1656" w:hanging="1296"/>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1944" w:hanging="1584"/>
      </w:pPr>
      <w:rPr>
        <w:rFonts w:hint="default"/>
      </w:rPr>
    </w:lvl>
  </w:abstractNum>
  <w:abstractNum w:abstractNumId="7" w15:restartNumberingAfterBreak="0">
    <w:nsid w:val="1DB720E3"/>
    <w:multiLevelType w:val="hybridMultilevel"/>
    <w:tmpl w:val="848A055E"/>
    <w:lvl w:ilvl="0" w:tplc="0F50D8FA">
      <w:start w:val="2"/>
      <w:numFmt w:val="bullet"/>
      <w:lvlText w:val=""/>
      <w:lvlJc w:val="left"/>
      <w:pPr>
        <w:ind w:left="720" w:hanging="360"/>
      </w:pPr>
      <w:rPr>
        <w:rFonts w:ascii="Symbol" w:eastAsiaTheme="minorHAnsi" w:hAnsi="Symbol" w:cstheme="majorHAnsi"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B66D5C"/>
    <w:multiLevelType w:val="multilevel"/>
    <w:tmpl w:val="F1D647A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2A16465D"/>
    <w:multiLevelType w:val="multilevel"/>
    <w:tmpl w:val="B30A15C2"/>
    <w:lvl w:ilvl="0">
      <w:start w:val="1"/>
      <w:numFmt w:val="decimal"/>
      <w:lvlText w:val="%1."/>
      <w:lvlJc w:val="left"/>
      <w:pPr>
        <w:ind w:left="720" w:hanging="360"/>
      </w:pPr>
    </w:lvl>
    <w:lvl w:ilvl="1">
      <w:start w:val="5"/>
      <w:numFmt w:val="decimal"/>
      <w:isLgl/>
      <w:lvlText w:val="%1.%2."/>
      <w:lvlJc w:val="left"/>
      <w:pPr>
        <w:ind w:left="1512" w:hanging="72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736" w:hanging="108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5184" w:hanging="1800"/>
      </w:pPr>
      <w:rPr>
        <w:rFonts w:hint="default"/>
      </w:rPr>
    </w:lvl>
    <w:lvl w:ilvl="8">
      <w:start w:val="1"/>
      <w:numFmt w:val="decimal"/>
      <w:isLgl/>
      <w:lvlText w:val="%1.%2.%3.%4.%5.%6.%7.%8.%9."/>
      <w:lvlJc w:val="left"/>
      <w:pPr>
        <w:ind w:left="5976" w:hanging="2160"/>
      </w:pPr>
      <w:rPr>
        <w:rFonts w:hint="default"/>
      </w:rPr>
    </w:lvl>
  </w:abstractNum>
  <w:abstractNum w:abstractNumId="10" w15:restartNumberingAfterBreak="0">
    <w:nsid w:val="2FF744EF"/>
    <w:multiLevelType w:val="multilevel"/>
    <w:tmpl w:val="6AA472E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5065E0C"/>
    <w:multiLevelType w:val="multilevel"/>
    <w:tmpl w:val="EF9A9232"/>
    <w:lvl w:ilvl="0">
      <w:start w:val="1"/>
      <w:numFmt w:val="decimal"/>
      <w:isLg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DE1295D"/>
    <w:multiLevelType w:val="multilevel"/>
    <w:tmpl w:val="2D906022"/>
    <w:lvl w:ilvl="0">
      <w:start w:val="1"/>
      <w:numFmt w:val="decimal"/>
      <w:isLgl/>
      <w:lvlText w:val="%1"/>
      <w:lvlJc w:val="left"/>
      <w:pPr>
        <w:ind w:left="1944" w:hanging="432"/>
      </w:pPr>
      <w:rPr>
        <w:rFonts w:hint="default"/>
      </w:rPr>
    </w:lvl>
    <w:lvl w:ilvl="1">
      <w:start w:val="1"/>
      <w:numFmt w:val="decimal"/>
      <w:isLgl/>
      <w:lvlText w:val="%1.%2"/>
      <w:lvlJc w:val="left"/>
      <w:pPr>
        <w:ind w:left="2088" w:hanging="576"/>
      </w:pPr>
      <w:rPr>
        <w:rFonts w:hint="default"/>
      </w:rPr>
    </w:lvl>
    <w:lvl w:ilvl="2">
      <w:start w:val="1"/>
      <w:numFmt w:val="decimal"/>
      <w:isLgl/>
      <w:lvlText w:val="%1.%2.%3"/>
      <w:lvlJc w:val="left"/>
      <w:pPr>
        <w:ind w:left="2232" w:hanging="720"/>
      </w:pPr>
      <w:rPr>
        <w:rFonts w:hint="default"/>
      </w:rPr>
    </w:lvl>
    <w:lvl w:ilvl="3">
      <w:start w:val="1"/>
      <w:numFmt w:val="decimal"/>
      <w:isLgl/>
      <w:lvlText w:val="%1.%2.%3.%4"/>
      <w:lvlJc w:val="left"/>
      <w:pPr>
        <w:ind w:left="2376" w:hanging="864"/>
      </w:pPr>
      <w:rPr>
        <w:rFonts w:hint="default"/>
      </w:rPr>
    </w:lvl>
    <w:lvl w:ilvl="4">
      <w:start w:val="1"/>
      <w:numFmt w:val="decimal"/>
      <w:lvlText w:val="%1.%2.%3.%4.%5"/>
      <w:lvlJc w:val="left"/>
      <w:pPr>
        <w:ind w:left="2520" w:hanging="1008"/>
      </w:pPr>
      <w:rPr>
        <w:rFonts w:hint="default"/>
      </w:rPr>
    </w:lvl>
    <w:lvl w:ilvl="5">
      <w:start w:val="1"/>
      <w:numFmt w:val="decimal"/>
      <w:lvlText w:val="%1.%2.%3.%4.%5.%6"/>
      <w:lvlJc w:val="left"/>
      <w:pPr>
        <w:ind w:left="2664" w:hanging="1152"/>
      </w:pPr>
      <w:rPr>
        <w:rFonts w:hint="default"/>
      </w:rPr>
    </w:lvl>
    <w:lvl w:ilvl="6">
      <w:start w:val="1"/>
      <w:numFmt w:val="decimal"/>
      <w:lvlText w:val="%1.%2.%3.%4.%5.%6.%7"/>
      <w:lvlJc w:val="left"/>
      <w:pPr>
        <w:ind w:left="2808" w:hanging="1296"/>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096" w:hanging="1584"/>
      </w:pPr>
      <w:rPr>
        <w:rFonts w:hint="default"/>
      </w:rPr>
    </w:lvl>
  </w:abstractNum>
  <w:abstractNum w:abstractNumId="13" w15:restartNumberingAfterBreak="0">
    <w:nsid w:val="44B47A31"/>
    <w:multiLevelType w:val="hybridMultilevel"/>
    <w:tmpl w:val="C5EA56B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46167C67"/>
    <w:multiLevelType w:val="multilevel"/>
    <w:tmpl w:val="B05E888E"/>
    <w:lvl w:ilvl="0">
      <w:start w:val="1"/>
      <w:numFmt w:val="decimal"/>
      <w:lvlText w:val="%1."/>
      <w:lvlJc w:val="left"/>
      <w:pPr>
        <w:ind w:left="1800" w:hanging="360"/>
      </w:pPr>
      <w:rPr>
        <w:rFonts w:hint="default"/>
      </w:rPr>
    </w:lvl>
    <w:lvl w:ilvl="1">
      <w:start w:val="1"/>
      <w:numFmt w:val="decimal"/>
      <w:lvlText w:val="%1.%2."/>
      <w:lvlJc w:val="left"/>
      <w:pPr>
        <w:ind w:left="2232" w:hanging="432"/>
      </w:pPr>
      <w:rPr>
        <w:rFonts w:hint="default"/>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5" w15:restartNumberingAfterBreak="0">
    <w:nsid w:val="4A567D2D"/>
    <w:multiLevelType w:val="multilevel"/>
    <w:tmpl w:val="D72891F6"/>
    <w:lvl w:ilvl="0">
      <w:start w:val="1"/>
      <w:numFmt w:val="decimal"/>
      <w:lvlText w:val="%1."/>
      <w:lvlJc w:val="left"/>
      <w:pPr>
        <w:ind w:left="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6" w15:restartNumberingAfterBreak="0">
    <w:nsid w:val="4A933E66"/>
    <w:multiLevelType w:val="multilevel"/>
    <w:tmpl w:val="40BE29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4D3F2B91"/>
    <w:multiLevelType w:val="multilevel"/>
    <w:tmpl w:val="27ECD8E8"/>
    <w:lvl w:ilvl="0">
      <w:start w:val="2"/>
      <w:numFmt w:val="decimal"/>
      <w:lvlText w:val="%1."/>
      <w:lvlJc w:val="left"/>
      <w:pPr>
        <w:ind w:left="600" w:hanging="600"/>
      </w:pPr>
      <w:rPr>
        <w:rFonts w:eastAsia="Times New Roman" w:hint="default"/>
      </w:rPr>
    </w:lvl>
    <w:lvl w:ilvl="1">
      <w:start w:val="6"/>
      <w:numFmt w:val="decimal"/>
      <w:lvlText w:val="%1.%2."/>
      <w:lvlJc w:val="left"/>
      <w:pPr>
        <w:ind w:left="1080" w:hanging="720"/>
      </w:pPr>
      <w:rPr>
        <w:rFonts w:eastAsia="Times New Roman" w:hint="default"/>
      </w:rPr>
    </w:lvl>
    <w:lvl w:ilvl="2">
      <w:start w:val="3"/>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600" w:hanging="144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8" w15:restartNumberingAfterBreak="0">
    <w:nsid w:val="542C7468"/>
    <w:multiLevelType w:val="multilevel"/>
    <w:tmpl w:val="B248E6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90A23C0"/>
    <w:multiLevelType w:val="multilevel"/>
    <w:tmpl w:val="F490D55A"/>
    <w:lvl w:ilvl="0">
      <w:start w:val="6"/>
      <w:numFmt w:val="decimal"/>
      <w:lvlText w:val="%1"/>
      <w:lvlJc w:val="left"/>
      <w:pPr>
        <w:ind w:left="432" w:hanging="432"/>
      </w:pPr>
      <w:rPr>
        <w:rFonts w:hint="default"/>
      </w:rPr>
    </w:lvl>
    <w:lvl w:ilvl="1">
      <w:start w:val="1"/>
      <w:numFmt w:val="decimal"/>
      <w:lvlText w:val="%1.%2"/>
      <w:lvlJc w:val="left"/>
      <w:pPr>
        <w:ind w:left="1286" w:hanging="576"/>
      </w:pPr>
      <w:rPr>
        <w:rFonts w:hint="default"/>
        <w:b/>
        <w:sz w:val="24"/>
      </w:rPr>
    </w:lvl>
    <w:lvl w:ilvl="2">
      <w:start w:val="1"/>
      <w:numFmt w:val="decimal"/>
      <w:lvlText w:val="%1.%2.%3"/>
      <w:lvlJc w:val="left"/>
      <w:pPr>
        <w:ind w:left="1146" w:hanging="720"/>
      </w:pPr>
      <w:rPr>
        <w:rFonts w:hint="default"/>
        <w:b/>
        <w:i w:val="0"/>
        <w:lang w:val="es-ES_tradnl"/>
      </w:rPr>
    </w:lvl>
    <w:lvl w:ilvl="3">
      <w:start w:val="1"/>
      <w:numFmt w:val="decimal"/>
      <w:lvlText w:val="%1.%2.%3.%4"/>
      <w:lvlJc w:val="left"/>
      <w:pPr>
        <w:ind w:left="1574" w:hanging="864"/>
      </w:pPr>
      <w:rPr>
        <w:rFonts w:ascii="Arial" w:hAnsi="Arial" w:cs="Arial" w:hint="default"/>
        <w:b w:val="0"/>
      </w:rPr>
    </w:lvl>
    <w:lvl w:ilvl="4">
      <w:start w:val="1"/>
      <w:numFmt w:val="decimal"/>
      <w:lvlText w:val="%1.%2.%3.%4.%5"/>
      <w:lvlJc w:val="left"/>
      <w:pPr>
        <w:ind w:left="866" w:hanging="1008"/>
      </w:pPr>
      <w:rPr>
        <w:rFonts w:hint="default"/>
      </w:rPr>
    </w:lvl>
    <w:lvl w:ilvl="5">
      <w:start w:val="1"/>
      <w:numFmt w:val="decimal"/>
      <w:lvlText w:val="%1.%2.%3.%4.%5.%6"/>
      <w:lvlJc w:val="left"/>
      <w:pPr>
        <w:ind w:left="1578" w:hanging="1152"/>
      </w:pPr>
      <w:rPr>
        <w:rFonts w:hint="default"/>
      </w:rPr>
    </w:lvl>
    <w:lvl w:ilvl="6">
      <w:start w:val="1"/>
      <w:numFmt w:val="decimal"/>
      <w:lvlText w:val="%1.%2.%3.%4.%5.%6.%7"/>
      <w:lvlJc w:val="left"/>
      <w:pPr>
        <w:ind w:left="1154" w:hanging="1296"/>
      </w:pPr>
      <w:rPr>
        <w:rFonts w:hint="default"/>
      </w:rPr>
    </w:lvl>
    <w:lvl w:ilvl="7">
      <w:start w:val="1"/>
      <w:numFmt w:val="decimal"/>
      <w:lvlText w:val="%1.%2.%3.%4.%5.%6.%7.%8"/>
      <w:lvlJc w:val="left"/>
      <w:pPr>
        <w:ind w:left="1298" w:hanging="1440"/>
      </w:pPr>
      <w:rPr>
        <w:rFonts w:hint="default"/>
      </w:rPr>
    </w:lvl>
    <w:lvl w:ilvl="8">
      <w:start w:val="1"/>
      <w:numFmt w:val="decimal"/>
      <w:lvlText w:val="%1.%2.%3.%4.%5.%6.%7.%8.%9"/>
      <w:lvlJc w:val="left"/>
      <w:pPr>
        <w:ind w:left="1442" w:hanging="1584"/>
      </w:pPr>
      <w:rPr>
        <w:rFonts w:hint="default"/>
      </w:rPr>
    </w:lvl>
  </w:abstractNum>
  <w:abstractNum w:abstractNumId="20" w15:restartNumberingAfterBreak="0">
    <w:nsid w:val="5A5D64C8"/>
    <w:multiLevelType w:val="multilevel"/>
    <w:tmpl w:val="751C1D56"/>
    <w:lvl w:ilvl="0">
      <w:start w:val="1"/>
      <w:numFmt w:val="decimal"/>
      <w:isLgl/>
      <w:lvlText w:val="%1"/>
      <w:lvlJc w:val="left"/>
      <w:pPr>
        <w:ind w:left="1944" w:hanging="432"/>
      </w:pPr>
      <w:rPr>
        <w:rFonts w:hint="default"/>
      </w:rPr>
    </w:lvl>
    <w:lvl w:ilvl="1">
      <w:start w:val="1"/>
      <w:numFmt w:val="decimal"/>
      <w:isLgl/>
      <w:lvlText w:val="%1.%2"/>
      <w:lvlJc w:val="left"/>
      <w:pPr>
        <w:ind w:left="2088" w:hanging="576"/>
      </w:pPr>
      <w:rPr>
        <w:rFonts w:hint="default"/>
      </w:rPr>
    </w:lvl>
    <w:lvl w:ilvl="2">
      <w:start w:val="1"/>
      <w:numFmt w:val="decimal"/>
      <w:isLgl/>
      <w:lvlText w:val="%1.%2.%3"/>
      <w:lvlJc w:val="left"/>
      <w:pPr>
        <w:ind w:left="2232" w:hanging="720"/>
      </w:pPr>
      <w:rPr>
        <w:rFonts w:hint="default"/>
      </w:rPr>
    </w:lvl>
    <w:lvl w:ilvl="3">
      <w:start w:val="1"/>
      <w:numFmt w:val="decimal"/>
      <w:lvlText w:val="%1.%2.%3.%4"/>
      <w:lvlJc w:val="left"/>
      <w:pPr>
        <w:ind w:left="2376" w:hanging="864"/>
      </w:pPr>
      <w:rPr>
        <w:rFonts w:hint="default"/>
      </w:rPr>
    </w:lvl>
    <w:lvl w:ilvl="4">
      <w:start w:val="1"/>
      <w:numFmt w:val="decimal"/>
      <w:lvlText w:val="%1.%2.%3.%4.%5"/>
      <w:lvlJc w:val="left"/>
      <w:pPr>
        <w:ind w:left="2520" w:hanging="1008"/>
      </w:pPr>
      <w:rPr>
        <w:rFonts w:hint="default"/>
      </w:rPr>
    </w:lvl>
    <w:lvl w:ilvl="5">
      <w:start w:val="1"/>
      <w:numFmt w:val="decimal"/>
      <w:lvlText w:val="%1.%2.%3.%4.%5.%6"/>
      <w:lvlJc w:val="left"/>
      <w:pPr>
        <w:ind w:left="2664" w:hanging="1152"/>
      </w:pPr>
      <w:rPr>
        <w:rFonts w:hint="default"/>
      </w:rPr>
    </w:lvl>
    <w:lvl w:ilvl="6">
      <w:start w:val="1"/>
      <w:numFmt w:val="decimal"/>
      <w:lvlText w:val="%1.%2.%3.%4.%5.%6.%7"/>
      <w:lvlJc w:val="left"/>
      <w:pPr>
        <w:ind w:left="2808" w:hanging="1296"/>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096" w:hanging="1584"/>
      </w:pPr>
      <w:rPr>
        <w:rFonts w:hint="default"/>
      </w:rPr>
    </w:lvl>
  </w:abstractNum>
  <w:abstractNum w:abstractNumId="21" w15:restartNumberingAfterBreak="0">
    <w:nsid w:val="5D56759E"/>
    <w:multiLevelType w:val="multilevel"/>
    <w:tmpl w:val="A0A45AA6"/>
    <w:lvl w:ilvl="0">
      <w:start w:val="1"/>
      <w:numFmt w:val="decimal"/>
      <w:pStyle w:val="Ttulo1"/>
      <w:lvlText w:val="%1."/>
      <w:lvlJc w:val="left"/>
      <w:pPr>
        <w:ind w:left="3262" w:hanging="360"/>
      </w:pPr>
      <w:rPr>
        <w:rFonts w:hint="default"/>
      </w:rPr>
    </w:lvl>
    <w:lvl w:ilvl="1">
      <w:start w:val="1"/>
      <w:numFmt w:val="decimal"/>
      <w:lvlText w:val="%1.%2."/>
      <w:lvlJc w:val="left"/>
      <w:pPr>
        <w:ind w:left="3694" w:hanging="432"/>
      </w:pPr>
      <w:rPr>
        <w:rFonts w:hint="default"/>
      </w:rPr>
    </w:lvl>
    <w:lvl w:ilvl="2">
      <w:start w:val="1"/>
      <w:numFmt w:val="decimal"/>
      <w:pStyle w:val="Ttulo3"/>
      <w:lvlText w:val="%1.%2.%3."/>
      <w:lvlJc w:val="left"/>
      <w:pPr>
        <w:ind w:left="4126" w:hanging="504"/>
      </w:pPr>
      <w:rPr>
        <w:rFonts w:hint="default"/>
      </w:rPr>
    </w:lvl>
    <w:lvl w:ilvl="3">
      <w:start w:val="1"/>
      <w:numFmt w:val="decimal"/>
      <w:lvlText w:val="%1.%2.%3.%4."/>
      <w:lvlJc w:val="left"/>
      <w:pPr>
        <w:ind w:left="4630" w:hanging="648"/>
      </w:pPr>
      <w:rPr>
        <w:rFonts w:hint="default"/>
      </w:rPr>
    </w:lvl>
    <w:lvl w:ilvl="4">
      <w:start w:val="1"/>
      <w:numFmt w:val="decimal"/>
      <w:lvlText w:val="%1.%2.%3.%4.%5."/>
      <w:lvlJc w:val="left"/>
      <w:pPr>
        <w:ind w:left="5134" w:hanging="792"/>
      </w:pPr>
      <w:rPr>
        <w:rFonts w:hint="default"/>
      </w:rPr>
    </w:lvl>
    <w:lvl w:ilvl="5">
      <w:start w:val="1"/>
      <w:numFmt w:val="decimal"/>
      <w:lvlText w:val="%1.%2.%3.%4.%5.%6."/>
      <w:lvlJc w:val="left"/>
      <w:pPr>
        <w:ind w:left="5638" w:hanging="936"/>
      </w:pPr>
      <w:rPr>
        <w:rFonts w:hint="default"/>
      </w:rPr>
    </w:lvl>
    <w:lvl w:ilvl="6">
      <w:start w:val="1"/>
      <w:numFmt w:val="decimal"/>
      <w:lvlText w:val="%1.%2.%3.%4.%5.%6.%7."/>
      <w:lvlJc w:val="left"/>
      <w:pPr>
        <w:ind w:left="6142" w:hanging="1080"/>
      </w:pPr>
      <w:rPr>
        <w:rFonts w:hint="default"/>
      </w:rPr>
    </w:lvl>
    <w:lvl w:ilvl="7">
      <w:start w:val="1"/>
      <w:numFmt w:val="decimal"/>
      <w:lvlText w:val="%1.%2.%3.%4.%5.%6.%7.%8."/>
      <w:lvlJc w:val="left"/>
      <w:pPr>
        <w:ind w:left="6646" w:hanging="1224"/>
      </w:pPr>
      <w:rPr>
        <w:rFonts w:hint="default"/>
      </w:rPr>
    </w:lvl>
    <w:lvl w:ilvl="8">
      <w:start w:val="1"/>
      <w:numFmt w:val="decimal"/>
      <w:lvlText w:val="%1.%2.%3.%4.%5.%6.%7.%8.%9."/>
      <w:lvlJc w:val="left"/>
      <w:pPr>
        <w:ind w:left="7222" w:hanging="1440"/>
      </w:pPr>
      <w:rPr>
        <w:rFonts w:hint="default"/>
      </w:rPr>
    </w:lvl>
  </w:abstractNum>
  <w:abstractNum w:abstractNumId="22" w15:restartNumberingAfterBreak="0">
    <w:nsid w:val="5E0B20A3"/>
    <w:multiLevelType w:val="multilevel"/>
    <w:tmpl w:val="BA82A1DA"/>
    <w:lvl w:ilvl="0">
      <w:start w:val="1"/>
      <w:numFmt w:val="decimal"/>
      <w:isLg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5F174EEC"/>
    <w:multiLevelType w:val="multilevel"/>
    <w:tmpl w:val="1CF68232"/>
    <w:lvl w:ilvl="0">
      <w:start w:val="1"/>
      <w:numFmt w:val="decimal"/>
      <w:lvlText w:val="%1"/>
      <w:lvlJc w:val="left"/>
      <w:pPr>
        <w:ind w:left="1512" w:hanging="432"/>
      </w:pPr>
      <w:rPr>
        <w:rFonts w:hint="default"/>
      </w:rPr>
    </w:lvl>
    <w:lvl w:ilvl="1">
      <w:start w:val="1"/>
      <w:numFmt w:val="decimal"/>
      <w:lvlText w:val="%1.%2"/>
      <w:lvlJc w:val="left"/>
      <w:pPr>
        <w:ind w:left="165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1944" w:hanging="864"/>
      </w:pPr>
      <w:rPr>
        <w:rFonts w:hint="default"/>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24" w15:restartNumberingAfterBreak="0">
    <w:nsid w:val="632F5DB7"/>
    <w:multiLevelType w:val="multilevel"/>
    <w:tmpl w:val="6D826F10"/>
    <w:lvl w:ilvl="0">
      <w:start w:val="1"/>
      <w:numFmt w:val="decimal"/>
      <w:lvlText w:val="%1."/>
      <w:lvlJc w:val="left"/>
      <w:pPr>
        <w:ind w:left="4075" w:hanging="360"/>
      </w:pPr>
      <w:rPr>
        <w:rFonts w:hint="default"/>
      </w:rPr>
    </w:lvl>
    <w:lvl w:ilvl="1">
      <w:start w:val="1"/>
      <w:numFmt w:val="decimal"/>
      <w:pStyle w:val="Ttulo2"/>
      <w:lvlText w:val="%1.%2."/>
      <w:lvlJc w:val="left"/>
      <w:pPr>
        <w:ind w:left="4507" w:hanging="432"/>
      </w:pPr>
      <w:rPr>
        <w:rFonts w:hint="default"/>
      </w:rPr>
    </w:lvl>
    <w:lvl w:ilvl="2">
      <w:start w:val="1"/>
      <w:numFmt w:val="decimal"/>
      <w:lvlText w:val="%1.%2.%3."/>
      <w:lvlJc w:val="left"/>
      <w:pPr>
        <w:ind w:left="4939" w:hanging="504"/>
      </w:pPr>
      <w:rPr>
        <w:rFonts w:hint="default"/>
      </w:rPr>
    </w:lvl>
    <w:lvl w:ilvl="3">
      <w:start w:val="1"/>
      <w:numFmt w:val="decimal"/>
      <w:lvlText w:val="%1.%2.%3.%4."/>
      <w:lvlJc w:val="left"/>
      <w:pPr>
        <w:ind w:left="5443" w:hanging="648"/>
      </w:pPr>
      <w:rPr>
        <w:rFonts w:hint="default"/>
      </w:rPr>
    </w:lvl>
    <w:lvl w:ilvl="4">
      <w:start w:val="1"/>
      <w:numFmt w:val="decimal"/>
      <w:lvlText w:val="%1.%2.%3.%4.%5."/>
      <w:lvlJc w:val="left"/>
      <w:pPr>
        <w:ind w:left="5947" w:hanging="792"/>
      </w:pPr>
      <w:rPr>
        <w:rFonts w:hint="default"/>
      </w:rPr>
    </w:lvl>
    <w:lvl w:ilvl="5">
      <w:start w:val="1"/>
      <w:numFmt w:val="decimal"/>
      <w:lvlText w:val="%1.%2.%3.%4.%5.%6."/>
      <w:lvlJc w:val="left"/>
      <w:pPr>
        <w:ind w:left="6451" w:hanging="936"/>
      </w:pPr>
      <w:rPr>
        <w:rFonts w:hint="default"/>
      </w:rPr>
    </w:lvl>
    <w:lvl w:ilvl="6">
      <w:start w:val="1"/>
      <w:numFmt w:val="decimal"/>
      <w:lvlText w:val="%1.%2.%3.%4.%5.%6.%7."/>
      <w:lvlJc w:val="left"/>
      <w:pPr>
        <w:ind w:left="6955" w:hanging="1080"/>
      </w:pPr>
      <w:rPr>
        <w:rFonts w:hint="default"/>
      </w:rPr>
    </w:lvl>
    <w:lvl w:ilvl="7">
      <w:start w:val="1"/>
      <w:numFmt w:val="decimal"/>
      <w:lvlText w:val="%1.%2.%3.%4.%5.%6.%7.%8."/>
      <w:lvlJc w:val="left"/>
      <w:pPr>
        <w:ind w:left="7459" w:hanging="1224"/>
      </w:pPr>
      <w:rPr>
        <w:rFonts w:hint="default"/>
      </w:rPr>
    </w:lvl>
    <w:lvl w:ilvl="8">
      <w:start w:val="1"/>
      <w:numFmt w:val="decimal"/>
      <w:lvlText w:val="%1.%2.%3.%4.%5.%6.%7.%8.%9."/>
      <w:lvlJc w:val="left"/>
      <w:pPr>
        <w:ind w:left="8035" w:hanging="1440"/>
      </w:pPr>
      <w:rPr>
        <w:rFonts w:hint="default"/>
      </w:rPr>
    </w:lvl>
  </w:abstractNum>
  <w:abstractNum w:abstractNumId="25" w15:restartNumberingAfterBreak="0">
    <w:nsid w:val="673A5B0A"/>
    <w:multiLevelType w:val="multilevel"/>
    <w:tmpl w:val="11740C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6381553"/>
    <w:multiLevelType w:val="multilevel"/>
    <w:tmpl w:val="58AE9C10"/>
    <w:lvl w:ilvl="0">
      <w:start w:val="1"/>
      <w:numFmt w:val="decimal"/>
      <w:isLgl/>
      <w:lvlText w:val="%1"/>
      <w:lvlJc w:val="left"/>
      <w:pPr>
        <w:ind w:left="432" w:hanging="432"/>
      </w:pPr>
      <w:rPr>
        <w:rFonts w:hint="default"/>
      </w:rPr>
    </w:lvl>
    <w:lvl w:ilvl="1">
      <w:start w:val="1"/>
      <w:numFmt w:val="decimal"/>
      <w:isLgl/>
      <w:lvlText w:val="%1.%2"/>
      <w:lvlJc w:val="left"/>
      <w:pPr>
        <w:ind w:left="576" w:hanging="57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64" w:hanging="864"/>
      </w:pPr>
      <w:rPr>
        <w:rFonts w:hint="default"/>
        <w:b/>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461580720">
    <w:abstractNumId w:val="3"/>
  </w:num>
  <w:num w:numId="2" w16cid:durableId="1671331601">
    <w:abstractNumId w:val="11"/>
  </w:num>
  <w:num w:numId="3" w16cid:durableId="1651248784">
    <w:abstractNumId w:val="3"/>
  </w:num>
  <w:num w:numId="4" w16cid:durableId="1652170717">
    <w:abstractNumId w:val="20"/>
  </w:num>
  <w:num w:numId="5" w16cid:durableId="102773772">
    <w:abstractNumId w:val="12"/>
  </w:num>
  <w:num w:numId="6" w16cid:durableId="708649533">
    <w:abstractNumId w:val="6"/>
  </w:num>
  <w:num w:numId="7" w16cid:durableId="296686173">
    <w:abstractNumId w:val="26"/>
  </w:num>
  <w:num w:numId="8" w16cid:durableId="709107134">
    <w:abstractNumId w:val="22"/>
  </w:num>
  <w:num w:numId="9" w16cid:durableId="437484673">
    <w:abstractNumId w:val="18"/>
  </w:num>
  <w:num w:numId="10" w16cid:durableId="8525724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59250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9011358">
    <w:abstractNumId w:val="0"/>
  </w:num>
  <w:num w:numId="13" w16cid:durableId="1952055573">
    <w:abstractNumId w:val="0"/>
  </w:num>
  <w:num w:numId="14" w16cid:durableId="749352263">
    <w:abstractNumId w:val="5"/>
  </w:num>
  <w:num w:numId="15" w16cid:durableId="622422664">
    <w:abstractNumId w:val="5"/>
  </w:num>
  <w:num w:numId="16" w16cid:durableId="983967151">
    <w:abstractNumId w:val="0"/>
  </w:num>
  <w:num w:numId="17" w16cid:durableId="1072698684">
    <w:abstractNumId w:val="0"/>
  </w:num>
  <w:num w:numId="18" w16cid:durableId="875581434">
    <w:abstractNumId w:val="10"/>
  </w:num>
  <w:num w:numId="19" w16cid:durableId="1093282065">
    <w:abstractNumId w:val="25"/>
  </w:num>
  <w:num w:numId="20" w16cid:durableId="226379906">
    <w:abstractNumId w:val="23"/>
  </w:num>
  <w:num w:numId="21" w16cid:durableId="1000812665">
    <w:abstractNumId w:val="2"/>
  </w:num>
  <w:num w:numId="22" w16cid:durableId="307318454">
    <w:abstractNumId w:val="0"/>
  </w:num>
  <w:num w:numId="23" w16cid:durableId="920332211">
    <w:abstractNumId w:val="23"/>
  </w:num>
  <w:num w:numId="24" w16cid:durableId="1829977012">
    <w:abstractNumId w:val="0"/>
  </w:num>
  <w:num w:numId="25" w16cid:durableId="1644971045">
    <w:abstractNumId w:val="23"/>
  </w:num>
  <w:num w:numId="26" w16cid:durableId="609049923">
    <w:abstractNumId w:val="2"/>
  </w:num>
  <w:num w:numId="27" w16cid:durableId="17775444">
    <w:abstractNumId w:val="8"/>
  </w:num>
  <w:num w:numId="28" w16cid:durableId="2126923636">
    <w:abstractNumId w:val="1"/>
  </w:num>
  <w:num w:numId="29" w16cid:durableId="1798644009">
    <w:abstractNumId w:val="0"/>
  </w:num>
  <w:num w:numId="30" w16cid:durableId="320237547">
    <w:abstractNumId w:val="1"/>
  </w:num>
  <w:num w:numId="31" w16cid:durableId="2135056067">
    <w:abstractNumId w:val="14"/>
  </w:num>
  <w:num w:numId="32" w16cid:durableId="847138285">
    <w:abstractNumId w:val="21"/>
  </w:num>
  <w:num w:numId="33" w16cid:durableId="961688372">
    <w:abstractNumId w:val="21"/>
  </w:num>
  <w:num w:numId="34" w16cid:durableId="145360275">
    <w:abstractNumId w:val="24"/>
  </w:num>
  <w:num w:numId="35" w16cid:durableId="38676929">
    <w:abstractNumId w:val="15"/>
  </w:num>
  <w:num w:numId="36" w16cid:durableId="880829241">
    <w:abstractNumId w:val="15"/>
  </w:num>
  <w:num w:numId="37" w16cid:durableId="902525115">
    <w:abstractNumId w:val="16"/>
  </w:num>
  <w:num w:numId="38" w16cid:durableId="1084835373">
    <w:abstractNumId w:val="4"/>
  </w:num>
  <w:num w:numId="39" w16cid:durableId="1748727663">
    <w:abstractNumId w:val="9"/>
  </w:num>
  <w:num w:numId="40" w16cid:durableId="1081876871">
    <w:abstractNumId w:val="19"/>
  </w:num>
  <w:num w:numId="41" w16cid:durableId="1662734566">
    <w:abstractNumId w:val="17"/>
  </w:num>
  <w:num w:numId="42" w16cid:durableId="1658462928">
    <w:abstractNumId w:val="13"/>
  </w:num>
  <w:num w:numId="43" w16cid:durableId="261802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BBB"/>
    <w:rsid w:val="00070BBB"/>
    <w:rsid w:val="001450AA"/>
    <w:rsid w:val="003679D2"/>
    <w:rsid w:val="00474B10"/>
    <w:rsid w:val="00505E70"/>
    <w:rsid w:val="0079437F"/>
    <w:rsid w:val="00824851"/>
    <w:rsid w:val="00847C50"/>
    <w:rsid w:val="008E1B24"/>
    <w:rsid w:val="00933835"/>
    <w:rsid w:val="00985DEA"/>
    <w:rsid w:val="00A450FF"/>
    <w:rsid w:val="00AC2C6D"/>
    <w:rsid w:val="00B20D16"/>
    <w:rsid w:val="00CF4EB3"/>
    <w:rsid w:val="00E058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16A0B"/>
  <w15:chartTrackingRefBased/>
  <w15:docId w15:val="{98727567-C787-D148-A428-CADF3766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4EB3"/>
    <w:pPr>
      <w:spacing w:line="360" w:lineRule="auto"/>
      <w:jc w:val="both"/>
    </w:pPr>
    <w:rPr>
      <w:rFonts w:asciiTheme="majorHAnsi" w:hAnsiTheme="majorHAnsi"/>
    </w:rPr>
  </w:style>
  <w:style w:type="paragraph" w:styleId="Ttulo1">
    <w:name w:val="heading 1"/>
    <w:aliases w:val="Titre principal (1),título 1,TITULO 1,Nombre Proyecto,Titre principal (1)1,Titre principal (1)2,Nombre Proyecto1,Car, Car,Título 1 Car Car,Edgar 1,SGC Essere 1 C,SGC Essere 0"/>
    <w:basedOn w:val="Normal"/>
    <w:link w:val="Ttulo1Car"/>
    <w:autoRedefine/>
    <w:uiPriority w:val="9"/>
    <w:qFormat/>
    <w:rsid w:val="00933835"/>
    <w:pPr>
      <w:widowControl w:val="0"/>
      <w:numPr>
        <w:numId w:val="33"/>
      </w:numPr>
      <w:autoSpaceDE w:val="0"/>
      <w:autoSpaceDN w:val="0"/>
      <w:spacing w:before="91" w:line="240" w:lineRule="auto"/>
      <w:jc w:val="center"/>
      <w:outlineLvl w:val="0"/>
    </w:pPr>
    <w:rPr>
      <w:rFonts w:ascii="Arial" w:eastAsia="Arial MT" w:hAnsi="Arial" w:cs="Arial MT"/>
      <w:b/>
      <w:szCs w:val="26"/>
      <w:lang w:val="es-ES"/>
    </w:rPr>
  </w:style>
  <w:style w:type="paragraph" w:styleId="Ttulo2">
    <w:name w:val="heading 2"/>
    <w:basedOn w:val="Normal"/>
    <w:link w:val="Ttulo2Car1"/>
    <w:autoRedefine/>
    <w:uiPriority w:val="9"/>
    <w:unhideWhenUsed/>
    <w:qFormat/>
    <w:rsid w:val="00933835"/>
    <w:pPr>
      <w:widowControl w:val="0"/>
      <w:numPr>
        <w:ilvl w:val="1"/>
        <w:numId w:val="34"/>
      </w:numPr>
      <w:autoSpaceDE w:val="0"/>
      <w:autoSpaceDN w:val="0"/>
      <w:spacing w:line="240" w:lineRule="auto"/>
      <w:jc w:val="left"/>
      <w:outlineLvl w:val="1"/>
    </w:pPr>
    <w:rPr>
      <w:rFonts w:ascii="Arial" w:eastAsia="Arial" w:hAnsi="Arial" w:cs="Arial"/>
      <w:b/>
      <w:bCs/>
      <w:lang w:val="es-ES"/>
    </w:rPr>
  </w:style>
  <w:style w:type="paragraph" w:styleId="Ttulo3">
    <w:name w:val="heading 3"/>
    <w:basedOn w:val="Normal"/>
    <w:next w:val="Normal"/>
    <w:link w:val="Ttulo3Car"/>
    <w:autoRedefine/>
    <w:uiPriority w:val="9"/>
    <w:unhideWhenUsed/>
    <w:qFormat/>
    <w:rsid w:val="00933835"/>
    <w:pPr>
      <w:keepNext/>
      <w:keepLines/>
      <w:widowControl w:val="0"/>
      <w:numPr>
        <w:ilvl w:val="2"/>
        <w:numId w:val="33"/>
      </w:numPr>
      <w:autoSpaceDE w:val="0"/>
      <w:autoSpaceDN w:val="0"/>
      <w:spacing w:before="40" w:line="240" w:lineRule="auto"/>
      <w:jc w:val="left"/>
      <w:outlineLvl w:val="2"/>
    </w:pPr>
    <w:rPr>
      <w:rFonts w:ascii="Arial" w:eastAsiaTheme="majorEastAsia" w:hAnsi="Arial" w:cstheme="majorBidi"/>
      <w:b/>
      <w:color w:val="000000" w:themeColor="text1"/>
      <w:lang w:val="es-ES"/>
    </w:rPr>
  </w:style>
  <w:style w:type="paragraph" w:styleId="Ttulo4">
    <w:name w:val="heading 4"/>
    <w:basedOn w:val="Normal"/>
    <w:next w:val="Normal"/>
    <w:link w:val="Ttulo4Car"/>
    <w:autoRedefine/>
    <w:uiPriority w:val="9"/>
    <w:unhideWhenUsed/>
    <w:qFormat/>
    <w:rsid w:val="00933835"/>
    <w:pPr>
      <w:keepNext/>
      <w:keepLines/>
      <w:widowControl w:val="0"/>
      <w:numPr>
        <w:ilvl w:val="3"/>
        <w:numId w:val="37"/>
      </w:numPr>
      <w:tabs>
        <w:tab w:val="left" w:pos="5954"/>
      </w:tabs>
      <w:autoSpaceDE w:val="0"/>
      <w:autoSpaceDN w:val="0"/>
      <w:spacing w:before="40" w:line="240" w:lineRule="auto"/>
      <w:ind w:left="1368" w:hanging="648"/>
      <w:jc w:val="left"/>
      <w:outlineLvl w:val="3"/>
    </w:pPr>
    <w:rPr>
      <w:rFonts w:ascii="Arial" w:eastAsiaTheme="majorEastAsia" w:hAnsi="Arial" w:cstheme="majorBidi"/>
      <w:i/>
      <w:iCs/>
      <w:color w:val="000000" w:themeColor="text1"/>
      <w:lang w:val="es-ES"/>
    </w:rPr>
  </w:style>
  <w:style w:type="paragraph" w:styleId="Ttulo5">
    <w:name w:val="heading 5"/>
    <w:aliases w:val="1.1.1 titulo,SGC Essere 5 C"/>
    <w:basedOn w:val="Normal"/>
    <w:next w:val="Normal"/>
    <w:link w:val="Ttulo5Car"/>
    <w:autoRedefine/>
    <w:uiPriority w:val="9"/>
    <w:unhideWhenUsed/>
    <w:qFormat/>
    <w:rsid w:val="00CF4EB3"/>
    <w:pPr>
      <w:keepNext/>
      <w:keepLines/>
      <w:numPr>
        <w:ilvl w:val="4"/>
        <w:numId w:val="30"/>
      </w:numPr>
      <w:spacing w:before="40" w:line="240" w:lineRule="auto"/>
      <w:jc w:val="left"/>
      <w:outlineLvl w:val="4"/>
    </w:pPr>
    <w:rPr>
      <w:rFonts w:eastAsiaTheme="majorEastAsia" w:cstheme="majorBidi"/>
      <w:i/>
      <w:color w:val="000000" w:themeColor="text1"/>
    </w:rPr>
  </w:style>
  <w:style w:type="paragraph" w:styleId="Ttulo6">
    <w:name w:val="heading 6"/>
    <w:aliases w:val="SGC Essere 6 C"/>
    <w:basedOn w:val="Normal"/>
    <w:next w:val="Normal"/>
    <w:link w:val="Ttulo6Car"/>
    <w:uiPriority w:val="9"/>
    <w:unhideWhenUsed/>
    <w:qFormat/>
    <w:rsid w:val="00070BBB"/>
    <w:pPr>
      <w:keepNext/>
      <w:keepLines/>
      <w:spacing w:before="40" w:line="259" w:lineRule="auto"/>
      <w:ind w:left="1578" w:hanging="1152"/>
      <w:jc w:val="left"/>
      <w:outlineLvl w:val="5"/>
    </w:pPr>
    <w:rPr>
      <w:rFonts w:eastAsiaTheme="majorEastAsia" w:cstheme="majorBidi"/>
      <w:color w:val="1F3763" w:themeColor="accent1" w:themeShade="7F"/>
      <w:kern w:val="0"/>
      <w:sz w:val="22"/>
      <w:szCs w:val="22"/>
      <w14:ligatures w14:val="none"/>
    </w:rPr>
  </w:style>
  <w:style w:type="paragraph" w:styleId="Ttulo7">
    <w:name w:val="heading 7"/>
    <w:aliases w:val="SGC Essere 7 C"/>
    <w:basedOn w:val="Normal"/>
    <w:next w:val="Normal"/>
    <w:link w:val="Ttulo7Car"/>
    <w:uiPriority w:val="9"/>
    <w:unhideWhenUsed/>
    <w:qFormat/>
    <w:rsid w:val="00070BBB"/>
    <w:pPr>
      <w:keepNext/>
      <w:keepLines/>
      <w:spacing w:before="40" w:line="240" w:lineRule="auto"/>
      <w:ind w:left="1154" w:hanging="1296"/>
      <w:jc w:val="left"/>
      <w:outlineLvl w:val="6"/>
    </w:pPr>
    <w:rPr>
      <w:rFonts w:eastAsiaTheme="majorEastAsia" w:cstheme="majorBidi"/>
      <w:i/>
      <w:iCs/>
      <w:color w:val="1F3763" w:themeColor="accent1" w:themeShade="7F"/>
      <w:kern w:val="0"/>
      <w:lang w:val="es-ES_tradnl" w:eastAsia="es-ES_tradnl"/>
      <w14:ligatures w14:val="none"/>
    </w:rPr>
  </w:style>
  <w:style w:type="paragraph" w:styleId="Ttulo8">
    <w:name w:val="heading 8"/>
    <w:aliases w:val="SGC Essere 8 C"/>
    <w:basedOn w:val="Normal"/>
    <w:next w:val="Normal"/>
    <w:link w:val="Ttulo8Car"/>
    <w:uiPriority w:val="9"/>
    <w:unhideWhenUsed/>
    <w:qFormat/>
    <w:rsid w:val="00070BBB"/>
    <w:pPr>
      <w:keepNext/>
      <w:keepLines/>
      <w:spacing w:before="40" w:line="240" w:lineRule="auto"/>
      <w:ind w:left="1298" w:hanging="1440"/>
      <w:jc w:val="left"/>
      <w:outlineLvl w:val="7"/>
    </w:pPr>
    <w:rPr>
      <w:rFonts w:eastAsiaTheme="majorEastAsia" w:cstheme="majorBidi"/>
      <w:color w:val="272727" w:themeColor="text1" w:themeTint="D8"/>
      <w:kern w:val="0"/>
      <w:sz w:val="21"/>
      <w:szCs w:val="21"/>
      <w:lang w:val="es-ES_tradnl" w:eastAsia="es-ES_tradnl"/>
      <w14:ligatures w14:val="none"/>
    </w:rPr>
  </w:style>
  <w:style w:type="paragraph" w:styleId="Ttulo9">
    <w:name w:val="heading 9"/>
    <w:aliases w:val="SGC Essere 9 C"/>
    <w:basedOn w:val="Normal"/>
    <w:next w:val="Normal"/>
    <w:link w:val="Ttulo9Car"/>
    <w:uiPriority w:val="9"/>
    <w:unhideWhenUsed/>
    <w:qFormat/>
    <w:rsid w:val="00070BBB"/>
    <w:pPr>
      <w:keepNext/>
      <w:keepLines/>
      <w:spacing w:before="40" w:line="240" w:lineRule="auto"/>
      <w:ind w:left="1442" w:hanging="1584"/>
      <w:jc w:val="left"/>
      <w:outlineLvl w:val="8"/>
    </w:pPr>
    <w:rPr>
      <w:rFonts w:eastAsiaTheme="majorEastAsia" w:cstheme="majorBidi"/>
      <w:i/>
      <w:iCs/>
      <w:color w:val="272727" w:themeColor="text1" w:themeTint="D8"/>
      <w:kern w:val="0"/>
      <w:sz w:val="21"/>
      <w:szCs w:val="21"/>
      <w:lang w:val="es-ES_tradnl" w:eastAsia="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uiPriority w:val="9"/>
    <w:rsid w:val="00985DEA"/>
    <w:rPr>
      <w:rFonts w:ascii="Arial" w:eastAsia="Arial" w:hAnsi="Arial" w:cs="Arial"/>
      <w:b/>
      <w:bCs/>
      <w:iCs/>
      <w:sz w:val="24"/>
      <w:szCs w:val="24"/>
      <w:lang w:val="es-ES"/>
    </w:rPr>
  </w:style>
  <w:style w:type="character" w:customStyle="1" w:styleId="Ttulo2Car1">
    <w:name w:val="Título 2 Car1"/>
    <w:basedOn w:val="Fuentedeprrafopredeter"/>
    <w:link w:val="Ttulo2"/>
    <w:uiPriority w:val="9"/>
    <w:rsid w:val="00933835"/>
    <w:rPr>
      <w:rFonts w:ascii="Arial" w:eastAsia="Arial" w:hAnsi="Arial" w:cs="Arial"/>
      <w:b/>
      <w:bCs/>
      <w:lang w:val="es-ES"/>
    </w:rPr>
  </w:style>
  <w:style w:type="character" w:customStyle="1" w:styleId="Ttulo1Car">
    <w:name w:val="Título 1 Car"/>
    <w:basedOn w:val="Fuentedeprrafopredeter"/>
    <w:link w:val="Ttulo1"/>
    <w:uiPriority w:val="9"/>
    <w:rsid w:val="00933835"/>
    <w:rPr>
      <w:rFonts w:ascii="Arial" w:eastAsia="Arial MT" w:hAnsi="Arial" w:cs="Arial MT"/>
      <w:b/>
      <w:szCs w:val="26"/>
      <w:lang w:val="es-ES"/>
    </w:rPr>
  </w:style>
  <w:style w:type="character" w:customStyle="1" w:styleId="Ttulo3Car">
    <w:name w:val="Título 3 Car"/>
    <w:basedOn w:val="Fuentedeprrafopredeter"/>
    <w:link w:val="Ttulo3"/>
    <w:uiPriority w:val="9"/>
    <w:rsid w:val="00933835"/>
    <w:rPr>
      <w:rFonts w:ascii="Arial" w:eastAsiaTheme="majorEastAsia" w:hAnsi="Arial" w:cstheme="majorBidi"/>
      <w:b/>
      <w:color w:val="000000" w:themeColor="text1"/>
      <w:lang w:val="es-ES"/>
    </w:rPr>
  </w:style>
  <w:style w:type="character" w:customStyle="1" w:styleId="Ttulo3Car1">
    <w:name w:val="Título 3 Car1"/>
    <w:basedOn w:val="Fuentedeprrafopredeter"/>
    <w:uiPriority w:val="9"/>
    <w:rsid w:val="00985DEA"/>
    <w:rPr>
      <w:rFonts w:ascii="Arial" w:eastAsia="Calibri Light" w:hAnsi="Arial" w:cstheme="majorHAnsi"/>
      <w:b/>
      <w:bCs/>
      <w:color w:val="000000" w:themeColor="text1"/>
      <w:w w:val="105"/>
      <w:lang w:val="es-ES"/>
    </w:rPr>
  </w:style>
  <w:style w:type="character" w:customStyle="1" w:styleId="Ttulo4Car">
    <w:name w:val="Título 4 Car"/>
    <w:basedOn w:val="Fuentedeprrafopredeter"/>
    <w:link w:val="Ttulo4"/>
    <w:uiPriority w:val="9"/>
    <w:rsid w:val="00933835"/>
    <w:rPr>
      <w:rFonts w:ascii="Arial" w:eastAsiaTheme="majorEastAsia" w:hAnsi="Arial" w:cstheme="majorBidi"/>
      <w:i/>
      <w:iCs/>
      <w:color w:val="000000" w:themeColor="text1"/>
      <w:lang w:val="es-ES"/>
    </w:rPr>
  </w:style>
  <w:style w:type="character" w:customStyle="1" w:styleId="Ttulo5Car">
    <w:name w:val="Título 5 Car"/>
    <w:basedOn w:val="Fuentedeprrafopredeter"/>
    <w:link w:val="Ttulo5"/>
    <w:uiPriority w:val="9"/>
    <w:semiHidden/>
    <w:rsid w:val="00AC2C6D"/>
    <w:rPr>
      <w:rFonts w:asciiTheme="majorHAnsi" w:eastAsiaTheme="majorEastAsia" w:hAnsiTheme="majorHAnsi" w:cstheme="majorBidi"/>
      <w:i/>
      <w:color w:val="000000" w:themeColor="text1"/>
    </w:rPr>
  </w:style>
  <w:style w:type="paragraph" w:styleId="Cita">
    <w:name w:val="Quote"/>
    <w:basedOn w:val="Normal"/>
    <w:next w:val="Normal"/>
    <w:link w:val="CitaCar"/>
    <w:autoRedefine/>
    <w:uiPriority w:val="29"/>
    <w:qFormat/>
    <w:rsid w:val="00AC2C6D"/>
    <w:pPr>
      <w:spacing w:before="200" w:after="160"/>
      <w:ind w:left="864" w:right="864"/>
      <w:jc w:val="center"/>
    </w:pPr>
    <w:rPr>
      <w:i/>
      <w:iCs/>
      <w:color w:val="404040" w:themeColor="text1" w:themeTint="BF"/>
      <w:sz w:val="20"/>
    </w:rPr>
  </w:style>
  <w:style w:type="character" w:customStyle="1" w:styleId="CitaCar">
    <w:name w:val="Cita Car"/>
    <w:basedOn w:val="Fuentedeprrafopredeter"/>
    <w:link w:val="Cita"/>
    <w:uiPriority w:val="29"/>
    <w:rsid w:val="00AC2C6D"/>
    <w:rPr>
      <w:rFonts w:asciiTheme="majorHAnsi" w:hAnsiTheme="majorHAnsi"/>
      <w:i/>
      <w:iCs/>
      <w:color w:val="404040" w:themeColor="text1" w:themeTint="BF"/>
      <w:sz w:val="20"/>
    </w:rPr>
  </w:style>
  <w:style w:type="paragraph" w:styleId="Ttulo">
    <w:name w:val="Title"/>
    <w:basedOn w:val="Normal"/>
    <w:next w:val="Normal"/>
    <w:link w:val="TtuloCar"/>
    <w:autoRedefine/>
    <w:uiPriority w:val="10"/>
    <w:qFormat/>
    <w:rsid w:val="00CF4EB3"/>
    <w:pPr>
      <w:spacing w:line="240" w:lineRule="auto"/>
      <w:contextualSpacing/>
    </w:pPr>
    <w:rPr>
      <w:rFonts w:eastAsiaTheme="majorEastAsia" w:cstheme="majorBidi"/>
      <w:spacing w:val="-10"/>
      <w:kern w:val="28"/>
      <w:sz w:val="40"/>
      <w:szCs w:val="56"/>
    </w:rPr>
  </w:style>
  <w:style w:type="character" w:customStyle="1" w:styleId="TtuloCar">
    <w:name w:val="Título Car"/>
    <w:basedOn w:val="Fuentedeprrafopredeter"/>
    <w:link w:val="Ttulo"/>
    <w:uiPriority w:val="10"/>
    <w:rsid w:val="00CF4EB3"/>
    <w:rPr>
      <w:rFonts w:asciiTheme="majorHAnsi" w:eastAsiaTheme="majorEastAsia" w:hAnsiTheme="majorHAnsi" w:cstheme="majorBidi"/>
      <w:spacing w:val="-10"/>
      <w:kern w:val="28"/>
      <w:sz w:val="40"/>
      <w:szCs w:val="56"/>
    </w:rPr>
  </w:style>
  <w:style w:type="character" w:customStyle="1" w:styleId="Ttulo6Car">
    <w:name w:val="Título 6 Car"/>
    <w:basedOn w:val="Fuentedeprrafopredeter"/>
    <w:link w:val="Ttulo6"/>
    <w:uiPriority w:val="9"/>
    <w:rsid w:val="00070BBB"/>
    <w:rPr>
      <w:rFonts w:asciiTheme="majorHAnsi" w:eastAsiaTheme="majorEastAsia" w:hAnsiTheme="majorHAnsi" w:cstheme="majorBidi"/>
      <w:color w:val="1F3763" w:themeColor="accent1" w:themeShade="7F"/>
      <w:kern w:val="0"/>
      <w:sz w:val="22"/>
      <w:szCs w:val="22"/>
      <w14:ligatures w14:val="none"/>
    </w:rPr>
  </w:style>
  <w:style w:type="character" w:customStyle="1" w:styleId="Ttulo7Car">
    <w:name w:val="Título 7 Car"/>
    <w:basedOn w:val="Fuentedeprrafopredeter"/>
    <w:link w:val="Ttulo7"/>
    <w:uiPriority w:val="9"/>
    <w:rsid w:val="00070BBB"/>
    <w:rPr>
      <w:rFonts w:asciiTheme="majorHAnsi" w:eastAsiaTheme="majorEastAsia" w:hAnsiTheme="majorHAnsi" w:cstheme="majorBidi"/>
      <w:i/>
      <w:iCs/>
      <w:color w:val="1F3763" w:themeColor="accent1" w:themeShade="7F"/>
      <w:kern w:val="0"/>
      <w:lang w:val="es-ES_tradnl" w:eastAsia="es-ES_tradnl"/>
      <w14:ligatures w14:val="none"/>
    </w:rPr>
  </w:style>
  <w:style w:type="character" w:customStyle="1" w:styleId="Ttulo8Car">
    <w:name w:val="Título 8 Car"/>
    <w:basedOn w:val="Fuentedeprrafopredeter"/>
    <w:link w:val="Ttulo8"/>
    <w:uiPriority w:val="9"/>
    <w:rsid w:val="00070BBB"/>
    <w:rPr>
      <w:rFonts w:asciiTheme="majorHAnsi" w:eastAsiaTheme="majorEastAsia" w:hAnsiTheme="majorHAnsi" w:cstheme="majorBidi"/>
      <w:color w:val="272727" w:themeColor="text1" w:themeTint="D8"/>
      <w:kern w:val="0"/>
      <w:sz w:val="21"/>
      <w:szCs w:val="21"/>
      <w:lang w:val="es-ES_tradnl" w:eastAsia="es-ES_tradnl"/>
      <w14:ligatures w14:val="none"/>
    </w:rPr>
  </w:style>
  <w:style w:type="character" w:customStyle="1" w:styleId="Ttulo9Car">
    <w:name w:val="Título 9 Car"/>
    <w:basedOn w:val="Fuentedeprrafopredeter"/>
    <w:link w:val="Ttulo9"/>
    <w:uiPriority w:val="9"/>
    <w:rsid w:val="00070BBB"/>
    <w:rPr>
      <w:rFonts w:asciiTheme="majorHAnsi" w:eastAsiaTheme="majorEastAsia" w:hAnsiTheme="majorHAnsi" w:cstheme="majorBidi"/>
      <w:i/>
      <w:iCs/>
      <w:color w:val="272727" w:themeColor="text1" w:themeTint="D8"/>
      <w:kern w:val="0"/>
      <w:sz w:val="21"/>
      <w:szCs w:val="21"/>
      <w:lang w:val="es-ES_tradnl" w:eastAsia="es-ES_tradnl"/>
      <w14:ligatures w14:val="none"/>
    </w:rPr>
  </w:style>
  <w:style w:type="table" w:customStyle="1" w:styleId="Tablasincuadrcula4">
    <w:name w:val="Tabla sin cuadrícula4"/>
    <w:basedOn w:val="Tablanormal"/>
    <w:uiPriority w:val="39"/>
    <w:rsid w:val="00070BB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Car,A,Car Car Car Car Car,Epígrafe Tabla,Epígrafe foto,Car1,Car11,Epígrafe Car1,Epígrafe Car2,Epígrafe Car3,Epígrafe Car4,Epígrafe Car5,Epígrafe Car6,Epígrafe Car7,Epígrafe Car8,Epígrafe Car9,Epígrafe Car11,Epígrafe final,T,Tabl"/>
    <w:basedOn w:val="Normal"/>
    <w:next w:val="Normal"/>
    <w:link w:val="DescripcinCar"/>
    <w:unhideWhenUsed/>
    <w:qFormat/>
    <w:rsid w:val="00070BBB"/>
    <w:pPr>
      <w:spacing w:after="200" w:line="240" w:lineRule="auto"/>
      <w:jc w:val="left"/>
    </w:pPr>
    <w:rPr>
      <w:rFonts w:asciiTheme="minorHAnsi" w:hAnsiTheme="minorHAnsi"/>
      <w:i/>
      <w:iCs/>
      <w:color w:val="44546A" w:themeColor="text2"/>
      <w:kern w:val="0"/>
      <w:sz w:val="18"/>
      <w:szCs w:val="18"/>
      <w14:ligatures w14:val="none"/>
    </w:rPr>
  </w:style>
  <w:style w:type="paragraph" w:styleId="NormalWeb">
    <w:name w:val="Normal (Web)"/>
    <w:basedOn w:val="Normal"/>
    <w:link w:val="NormalWebCar"/>
    <w:uiPriority w:val="99"/>
    <w:unhideWhenUsed/>
    <w:rsid w:val="00070BBB"/>
    <w:pPr>
      <w:spacing w:before="100" w:beforeAutospacing="1" w:after="100" w:afterAutospacing="1" w:line="240" w:lineRule="auto"/>
      <w:jc w:val="left"/>
    </w:pPr>
    <w:rPr>
      <w:rFonts w:ascii="Times New Roman" w:eastAsia="Times New Roman" w:hAnsi="Times New Roman" w:cs="Times New Roman"/>
      <w:kern w:val="0"/>
      <w:lang w:eastAsia="es-CO"/>
      <w14:ligatures w14:val="none"/>
    </w:rPr>
  </w:style>
  <w:style w:type="character" w:customStyle="1" w:styleId="NormalWebCar">
    <w:name w:val="Normal (Web) Car"/>
    <w:link w:val="NormalWeb"/>
    <w:uiPriority w:val="99"/>
    <w:rsid w:val="00070BBB"/>
    <w:rPr>
      <w:rFonts w:ascii="Times New Roman" w:eastAsia="Times New Roman" w:hAnsi="Times New Roman" w:cs="Times New Roman"/>
      <w:kern w:val="0"/>
      <w:lang w:eastAsia="es-CO"/>
      <w14:ligatures w14:val="none"/>
    </w:rPr>
  </w:style>
  <w:style w:type="character" w:customStyle="1" w:styleId="DescripcinCar">
    <w:name w:val="Descripción Car"/>
    <w:aliases w:val="Epígrafe Car Car Car,A Car,Car Car Car Car Car Car,Epígrafe Tabla Car,Epígrafe foto Car,Car1 Car,Car11 Car,Epígrafe Car1 Car,Epígrafe Car2 Car,Epígrafe Car3 Car,Epígrafe Car4 Car,Epígrafe Car5 Car,Epígrafe Car6 Car,Epígrafe Car7 Car"/>
    <w:link w:val="Descripcin"/>
    <w:qFormat/>
    <w:locked/>
    <w:rsid w:val="00070BBB"/>
    <w:rPr>
      <w:i/>
      <w:iCs/>
      <w:color w:val="44546A" w:themeColor="text2"/>
      <w:kern w:val="0"/>
      <w:sz w:val="18"/>
      <w:szCs w:val="18"/>
      <w14:ligatures w14:val="none"/>
    </w:rPr>
  </w:style>
  <w:style w:type="paragraph" w:styleId="Prrafodelista">
    <w:name w:val="List Paragraph"/>
    <w:basedOn w:val="Normal"/>
    <w:uiPriority w:val="34"/>
    <w:qFormat/>
    <w:rsid w:val="00070B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13</Pages>
  <Words>3132</Words>
  <Characters>17232</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Camilo Parra Cabrera</dc:creator>
  <cp:keywords/>
  <dc:description/>
  <cp:lastModifiedBy>Andres Camilo Parra Cabrera</cp:lastModifiedBy>
  <cp:revision>1</cp:revision>
  <dcterms:created xsi:type="dcterms:W3CDTF">2023-02-06T14:49:00Z</dcterms:created>
  <dcterms:modified xsi:type="dcterms:W3CDTF">2023-02-06T15:14:00Z</dcterms:modified>
</cp:coreProperties>
</file>