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78DF" w14:textId="54101E49" w:rsidR="001921DE" w:rsidRPr="00920CE2" w:rsidRDefault="00113173" w:rsidP="001921DE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val="pt-BR"/>
        </w:rPr>
      </w:pPr>
      <w:r w:rsidRPr="00920CE2">
        <w:rPr>
          <w:rFonts w:ascii="Arial" w:eastAsia="Calibri" w:hAnsi="Arial" w:cs="Arial"/>
          <w:b/>
          <w:sz w:val="20"/>
          <w:szCs w:val="20"/>
          <w:lang w:val="pt-BR"/>
        </w:rPr>
        <w:t>INFORME DE METAS</w:t>
      </w:r>
      <w:r w:rsidR="002D5546" w:rsidRPr="00920CE2">
        <w:rPr>
          <w:rFonts w:ascii="Arial" w:eastAsia="Calibri" w:hAnsi="Arial" w:cs="Arial"/>
          <w:b/>
          <w:sz w:val="20"/>
          <w:szCs w:val="20"/>
          <w:lang w:val="pt-BR"/>
        </w:rPr>
        <w:t xml:space="preserve"> DE </w:t>
      </w:r>
      <w:r w:rsidR="00A566E0" w:rsidRPr="00920CE2">
        <w:rPr>
          <w:rFonts w:ascii="Arial" w:eastAsia="Calibri" w:hAnsi="Arial" w:cs="Arial"/>
          <w:b/>
          <w:sz w:val="20"/>
          <w:szCs w:val="20"/>
          <w:lang w:val="pt-BR"/>
        </w:rPr>
        <w:t>LA DIRECCIÓN</w:t>
      </w:r>
      <w:r w:rsidRPr="00920CE2">
        <w:rPr>
          <w:rFonts w:ascii="Arial" w:eastAsia="Calibri" w:hAnsi="Arial" w:cs="Arial"/>
          <w:b/>
          <w:sz w:val="20"/>
          <w:szCs w:val="20"/>
          <w:lang w:val="pt-BR"/>
        </w:rPr>
        <w:t xml:space="preserve"> DE ORDENAMIENTO TERRITORIAL Y PLUSVALIA</w:t>
      </w:r>
    </w:p>
    <w:p w14:paraId="4448793C" w14:textId="77777777" w:rsidR="00AC3105" w:rsidRPr="00920CE2" w:rsidRDefault="00AC3105" w:rsidP="00AC3105">
      <w:pPr>
        <w:pStyle w:val="NormalWeb"/>
        <w:spacing w:after="0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b/>
          <w:bCs/>
          <w:spacing w:val="-2"/>
          <w:sz w:val="20"/>
          <w:szCs w:val="20"/>
        </w:rPr>
        <w:t>154 - Adoptar las dos políticas públicas de hábitat y ecourbanismo durante el cuatrienio.</w:t>
      </w:r>
      <w:r w:rsidRPr="00920CE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43BD265" w14:textId="566A1A2A" w:rsidR="006E1FE7" w:rsidRPr="00920CE2" w:rsidRDefault="006E1FE7" w:rsidP="00AC3105">
      <w:pPr>
        <w:pStyle w:val="NormalWeb"/>
        <w:spacing w:after="0"/>
        <w:rPr>
          <w:rFonts w:ascii="Arial" w:hAnsi="Arial" w:cs="Arial"/>
          <w:color w:val="000000"/>
          <w:sz w:val="20"/>
          <w:szCs w:val="20"/>
          <w:lang w:val="es-ES"/>
        </w:rPr>
      </w:pPr>
      <w:r w:rsidRPr="00920CE2">
        <w:rPr>
          <w:rFonts w:ascii="Arial" w:hAnsi="Arial" w:cs="Arial"/>
          <w:color w:val="000000"/>
          <w:sz w:val="20"/>
          <w:szCs w:val="20"/>
        </w:rPr>
        <w:t>Indicador de producto:</w:t>
      </w:r>
      <w:r w:rsidRPr="00920CE2">
        <w:rPr>
          <w:rFonts w:ascii="Arial" w:eastAsiaTheme="minorHAnsi" w:hAnsi="Arial" w:cs="Arial"/>
          <w:b/>
          <w:bCs/>
          <w:color w:val="212529"/>
          <w:sz w:val="20"/>
          <w:szCs w:val="20"/>
          <w:shd w:val="clear" w:color="auto" w:fill="F4F6F9"/>
          <w:lang w:val="es-ES" w:eastAsia="en-US"/>
        </w:rPr>
        <w:t xml:space="preserve"> </w:t>
      </w:r>
      <w:r w:rsidRPr="00920CE2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459903200</w:t>
      </w:r>
      <w:r w:rsidRPr="00920CE2">
        <w:rPr>
          <w:rFonts w:ascii="Arial" w:hAnsi="Arial" w:cs="Arial"/>
          <w:color w:val="000000"/>
          <w:sz w:val="20"/>
          <w:szCs w:val="20"/>
          <w:lang w:val="es-ES"/>
        </w:rPr>
        <w:t> - Documentos de política elaborados</w:t>
      </w:r>
    </w:p>
    <w:p w14:paraId="787E0BF1" w14:textId="03ED3D73" w:rsidR="00D4024B" w:rsidRPr="00920CE2" w:rsidRDefault="00D4024B" w:rsidP="00AC3105">
      <w:pPr>
        <w:pStyle w:val="NormalWeb"/>
        <w:spacing w:after="0"/>
        <w:rPr>
          <w:rFonts w:ascii="Arial" w:hAnsi="Arial" w:cs="Arial"/>
          <w:color w:val="000000"/>
          <w:sz w:val="20"/>
          <w:szCs w:val="20"/>
        </w:rPr>
      </w:pPr>
      <w:r w:rsidRPr="001F7EC9">
        <w:rPr>
          <w:rFonts w:ascii="Arial" w:hAnsi="Arial" w:cs="Arial"/>
          <w:b/>
          <w:bCs/>
          <w:color w:val="000000"/>
          <w:sz w:val="20"/>
          <w:szCs w:val="20"/>
        </w:rPr>
        <w:t>Objetivo del</w:t>
      </w:r>
      <w:r w:rsidRPr="00920CE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F7EC9">
        <w:rPr>
          <w:rFonts w:ascii="Arial" w:hAnsi="Arial" w:cs="Arial"/>
          <w:b/>
          <w:bCs/>
          <w:color w:val="000000"/>
          <w:sz w:val="20"/>
          <w:szCs w:val="20"/>
        </w:rPr>
        <w:t>Programa</w:t>
      </w:r>
      <w:r w:rsidRPr="00920CE2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920CE2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r w:rsidRPr="00920CE2">
        <w:rPr>
          <w:rFonts w:ascii="Arial" w:hAnsi="Arial" w:cs="Arial"/>
          <w:color w:val="000000"/>
          <w:sz w:val="20"/>
          <w:szCs w:val="20"/>
          <w:lang w:val="es-ES"/>
        </w:rPr>
        <w:t>Mejorar la planificación estratégica en el municipio de Chía mediante estrategias de seguimiento y evaluación, y apoyo a la ciudadanía, buscando lograr una gestión adecuada en el uso y eficiencia de los recursos y de la prestación de servicios públicos y telemáticos en el Municipio de Chía.</w:t>
      </w:r>
    </w:p>
    <w:p w14:paraId="1BEBE0DA" w14:textId="1B60ED82" w:rsidR="00E6598C" w:rsidRPr="009C4168" w:rsidRDefault="00E6598C" w:rsidP="00E6598C">
      <w:pPr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  <w:r w:rsidRPr="009C4168">
        <w:rPr>
          <w:rFonts w:ascii="Arial" w:hAnsi="Arial" w:cs="Arial"/>
          <w:color w:val="000000"/>
          <w:sz w:val="20"/>
          <w:szCs w:val="20"/>
          <w:lang w:val="es-CO"/>
        </w:rPr>
        <w:t xml:space="preserve">Avance físico programado (Fuente Sitesigo): </w:t>
      </w:r>
      <w:r w:rsidR="0010358D" w:rsidRPr="00920CE2">
        <w:rPr>
          <w:rFonts w:ascii="Arial" w:hAnsi="Arial" w:cs="Arial"/>
          <w:color w:val="000000"/>
          <w:sz w:val="20"/>
          <w:szCs w:val="20"/>
          <w:lang w:val="es-CO"/>
        </w:rPr>
        <w:t>0.05</w:t>
      </w:r>
    </w:p>
    <w:p w14:paraId="431DCFE8" w14:textId="13785856" w:rsidR="00E6598C" w:rsidRPr="00920CE2" w:rsidRDefault="00E6598C" w:rsidP="00E6598C">
      <w:pPr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  <w:r w:rsidRPr="009C4168">
        <w:rPr>
          <w:rFonts w:ascii="Arial" w:hAnsi="Arial" w:cs="Arial"/>
          <w:color w:val="000000"/>
          <w:sz w:val="20"/>
          <w:szCs w:val="20"/>
          <w:lang w:val="es-CO"/>
        </w:rPr>
        <w:t xml:space="preserve">Avance físico logrado (Fuente </w:t>
      </w:r>
      <w:proofErr w:type="spellStart"/>
      <w:r w:rsidRPr="009C4168">
        <w:rPr>
          <w:rFonts w:ascii="Arial" w:hAnsi="Arial" w:cs="Arial"/>
          <w:color w:val="000000"/>
          <w:sz w:val="20"/>
          <w:szCs w:val="20"/>
          <w:lang w:val="es-CO"/>
        </w:rPr>
        <w:t>Sitesigo</w:t>
      </w:r>
      <w:proofErr w:type="spellEnd"/>
      <w:r w:rsidRPr="009C4168">
        <w:rPr>
          <w:rFonts w:ascii="Arial" w:hAnsi="Arial" w:cs="Arial"/>
          <w:color w:val="000000"/>
          <w:sz w:val="20"/>
          <w:szCs w:val="20"/>
          <w:lang w:val="es-CO"/>
        </w:rPr>
        <w:t xml:space="preserve">): </w:t>
      </w:r>
      <w:r w:rsidRPr="00920CE2">
        <w:rPr>
          <w:rFonts w:ascii="Arial" w:hAnsi="Arial" w:cs="Arial"/>
          <w:color w:val="000000"/>
          <w:sz w:val="20"/>
          <w:szCs w:val="20"/>
          <w:lang w:val="es-CO"/>
        </w:rPr>
        <w:t>0,</w:t>
      </w:r>
      <w:r w:rsidR="004B2DB0" w:rsidRPr="00920CE2">
        <w:rPr>
          <w:rFonts w:ascii="Arial" w:hAnsi="Arial" w:cs="Arial"/>
          <w:color w:val="000000"/>
          <w:sz w:val="20"/>
          <w:szCs w:val="20"/>
          <w:lang w:val="es-CO"/>
        </w:rPr>
        <w:t>95</w:t>
      </w:r>
    </w:p>
    <w:p w14:paraId="69BDC069" w14:textId="77777777" w:rsidR="00E6598C" w:rsidRPr="009C4168" w:rsidRDefault="00E6598C" w:rsidP="00920CE2">
      <w:pPr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</w:p>
    <w:p w14:paraId="110C6399" w14:textId="2065EAE9" w:rsidR="00E6598C" w:rsidRPr="00920CE2" w:rsidRDefault="00E6598C" w:rsidP="00920CE2">
      <w:pPr>
        <w:spacing w:after="240" w:line="276" w:lineRule="auto"/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  <w:r w:rsidRPr="009C4168">
        <w:rPr>
          <w:rFonts w:ascii="Arial" w:hAnsi="Arial" w:cs="Arial"/>
          <w:b/>
          <w:bCs/>
          <w:color w:val="000000"/>
          <w:sz w:val="20"/>
          <w:szCs w:val="20"/>
          <w:lang w:val="es-CO"/>
        </w:rPr>
        <w:t>Avance financiero</w:t>
      </w:r>
      <w:r w:rsidRPr="009C4168">
        <w:rPr>
          <w:rFonts w:ascii="Arial" w:hAnsi="Arial" w:cs="Arial"/>
          <w:color w:val="000000"/>
          <w:sz w:val="20"/>
          <w:szCs w:val="20"/>
          <w:lang w:val="es-CO"/>
        </w:rPr>
        <w:t xml:space="preserve"> </w:t>
      </w:r>
      <w:r w:rsidRPr="009C4168">
        <w:rPr>
          <w:rFonts w:ascii="Arial" w:hAnsi="Arial" w:cs="Arial"/>
          <w:b/>
          <w:bCs/>
          <w:color w:val="000000"/>
          <w:sz w:val="20"/>
          <w:szCs w:val="20"/>
          <w:lang w:val="es-CO"/>
        </w:rPr>
        <w:t>(Fuente Sitesigo):</w:t>
      </w:r>
      <w:r w:rsidRPr="00920CE2">
        <w:rPr>
          <w:rFonts w:ascii="Arial" w:hAnsi="Arial" w:cs="Arial"/>
          <w:color w:val="000000"/>
          <w:sz w:val="20"/>
          <w:szCs w:val="20"/>
          <w:lang w:val="es-CO"/>
        </w:rPr>
        <w:t xml:space="preserve"> 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200"/>
        <w:gridCol w:w="1760"/>
        <w:gridCol w:w="2561"/>
      </w:tblGrid>
      <w:tr w:rsidR="007F107A" w:rsidRPr="007F107A" w14:paraId="3D30DA43" w14:textId="77777777" w:rsidTr="00867196">
        <w:trPr>
          <w:trHeight w:val="471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B3157" w14:textId="77777777" w:rsidR="007F107A" w:rsidRPr="007F107A" w:rsidRDefault="007F107A" w:rsidP="00867196">
            <w:pPr>
              <w:spacing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7F107A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VALOR APROPIADO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0801E" w14:textId="77777777" w:rsidR="007F107A" w:rsidRPr="007F107A" w:rsidRDefault="007F107A" w:rsidP="00867196">
            <w:pPr>
              <w:spacing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7F107A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VALOR COMPROMETIDO 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FCA80" w14:textId="77777777" w:rsidR="007F107A" w:rsidRPr="007F107A" w:rsidRDefault="007F107A" w:rsidP="00867196">
            <w:pPr>
              <w:spacing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7F107A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VALOR OBLIGADO</w:t>
            </w:r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88345" w14:textId="77777777" w:rsidR="007F107A" w:rsidRPr="007F107A" w:rsidRDefault="007F107A" w:rsidP="00867196">
            <w:pPr>
              <w:spacing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7F107A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PORCENTAJE AVANCE FINANCIERO</w:t>
            </w:r>
          </w:p>
        </w:tc>
      </w:tr>
      <w:tr w:rsidR="007F107A" w:rsidRPr="007F107A" w14:paraId="67E16EDD" w14:textId="77777777" w:rsidTr="00867196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22145" w14:textId="77777777" w:rsidR="007F107A" w:rsidRPr="007F107A" w:rsidRDefault="007F107A" w:rsidP="00920CE2">
            <w:pPr>
              <w:spacing w:after="240"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7F107A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$ 74.510.000,00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3213F" w14:textId="77777777" w:rsidR="007F107A" w:rsidRPr="007F107A" w:rsidRDefault="007F107A" w:rsidP="00920CE2">
            <w:pPr>
              <w:spacing w:after="240"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7F107A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$ 51.012.000,00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F24CE" w14:textId="77777777" w:rsidR="007F107A" w:rsidRPr="007F107A" w:rsidRDefault="007F107A" w:rsidP="00920CE2">
            <w:pPr>
              <w:spacing w:after="240"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7F107A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$ 37.900.000,00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3F882" w14:textId="054F6627" w:rsidR="007F107A" w:rsidRPr="007F107A" w:rsidRDefault="007F107A" w:rsidP="00920CE2">
            <w:pPr>
              <w:spacing w:after="240"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7F107A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50,86</w:t>
            </w:r>
            <w:r w:rsidRPr="00920CE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%</w:t>
            </w:r>
          </w:p>
        </w:tc>
      </w:tr>
    </w:tbl>
    <w:p w14:paraId="4448793D" w14:textId="3EBC91CE" w:rsidR="00AC3105" w:rsidRPr="00920CE2" w:rsidRDefault="00AC3105" w:rsidP="00920CE2">
      <w:pPr>
        <w:pStyle w:val="NormalWeb"/>
        <w:spacing w:after="24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 xml:space="preserve">Durante el segundo cuatrimestre de 2025, se presenta un avance global </w:t>
      </w:r>
      <w:r w:rsidR="00867196" w:rsidRPr="00920CE2">
        <w:rPr>
          <w:rFonts w:ascii="Arial" w:hAnsi="Arial" w:cs="Arial"/>
          <w:color w:val="000000"/>
          <w:sz w:val="20"/>
          <w:szCs w:val="20"/>
        </w:rPr>
        <w:t>del</w:t>
      </w:r>
      <w:r w:rsidR="00867196">
        <w:rPr>
          <w:rFonts w:ascii="Arial" w:hAnsi="Arial" w:cs="Arial"/>
          <w:color w:val="000000"/>
          <w:sz w:val="20"/>
          <w:szCs w:val="20"/>
        </w:rPr>
        <w:t xml:space="preserve"> 95</w:t>
      </w:r>
      <w:r w:rsidRPr="00920CE2">
        <w:rPr>
          <w:rFonts w:ascii="Arial" w:hAnsi="Arial" w:cs="Arial"/>
          <w:color w:val="000000"/>
          <w:sz w:val="20"/>
          <w:szCs w:val="20"/>
        </w:rPr>
        <w:t>% en la adopción de las políticas públicas de Hábitat y Ecourbanismo, cubriendo las etapas de estructuración, formulación, componentes técnicos y de seguimiento, así como planes complementarios y de implementación. A continuación, se detalla el estado de cada fase y componente:</w:t>
      </w:r>
    </w:p>
    <w:p w14:paraId="4448793E" w14:textId="77777777" w:rsidR="00AC3105" w:rsidRPr="00920CE2" w:rsidRDefault="00AC3105" w:rsidP="00AC3105">
      <w:pPr>
        <w:pStyle w:val="NormalWeb"/>
        <w:numPr>
          <w:ilvl w:val="0"/>
          <w:numId w:val="6"/>
        </w:numPr>
        <w:spacing w:before="0" w:beforeAutospacing="0" w:after="0"/>
        <w:rPr>
          <w:rFonts w:ascii="Arial" w:hAnsi="Arial" w:cs="Arial"/>
          <w:b/>
          <w:color w:val="000000"/>
          <w:sz w:val="20"/>
          <w:szCs w:val="20"/>
        </w:rPr>
      </w:pPr>
      <w:r w:rsidRPr="00920CE2">
        <w:rPr>
          <w:rFonts w:ascii="Arial" w:hAnsi="Arial" w:cs="Arial"/>
          <w:b/>
          <w:color w:val="000000"/>
          <w:sz w:val="20"/>
          <w:szCs w:val="20"/>
        </w:rPr>
        <w:t>Fase de Estructuración y Diagnóstico.</w:t>
      </w:r>
    </w:p>
    <w:p w14:paraId="4448793F" w14:textId="77777777" w:rsidR="000444A4" w:rsidRPr="00920CE2" w:rsidRDefault="00AC3105" w:rsidP="000444A4">
      <w:pPr>
        <w:pStyle w:val="NormalWeb"/>
        <w:numPr>
          <w:ilvl w:val="0"/>
          <w:numId w:val="16"/>
        </w:numPr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>Diagnóstico: Política de Hábitat: Está en fase final, con un 95% de avance. Las tareas pendientes son menores, principalmente revisión de forma y actualización de cifras y títulos.</w:t>
      </w:r>
    </w:p>
    <w:p w14:paraId="44487940" w14:textId="77777777" w:rsidR="00AC3105" w:rsidRPr="00920CE2" w:rsidRDefault="00AC3105" w:rsidP="000444A4">
      <w:pPr>
        <w:pStyle w:val="NormalWeb"/>
        <w:numPr>
          <w:ilvl w:val="0"/>
          <w:numId w:val="16"/>
        </w:numPr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>Política de Ecourbanismo: Alcanzó un 75%, requiere revisión complementaria y finalizar participación ciudadana.</w:t>
      </w:r>
    </w:p>
    <w:p w14:paraId="44487941" w14:textId="77777777" w:rsidR="00AC3105" w:rsidRPr="00920CE2" w:rsidRDefault="00AC3105" w:rsidP="000444A4">
      <w:pPr>
        <w:pStyle w:val="NormalWeb"/>
        <w:numPr>
          <w:ilvl w:val="0"/>
          <w:numId w:val="16"/>
        </w:numPr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>Implicación: La base diagnóstica está casi consolidada, especialmente para Hábitat, fortaleciendo la formulación futura.</w:t>
      </w:r>
    </w:p>
    <w:p w14:paraId="795CE287" w14:textId="1552B20B" w:rsidR="005609CD" w:rsidRPr="00920CE2" w:rsidRDefault="005609CD" w:rsidP="00D8154E">
      <w:pPr>
        <w:pStyle w:val="NormalWeb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>Notificación de síntesis del estado de los documentos a la Dirección de Planificación para el desarrollo, a la Secretaría de Planeación y a la</w:t>
      </w:r>
      <w:r w:rsidR="00D8154E" w:rsidRPr="00920CE2">
        <w:rPr>
          <w:rFonts w:ascii="Arial" w:hAnsi="Arial" w:cs="Arial"/>
          <w:color w:val="000000"/>
          <w:sz w:val="20"/>
          <w:szCs w:val="20"/>
        </w:rPr>
        <w:t xml:space="preserve"> </w:t>
      </w:r>
      <w:r w:rsidRPr="00920CE2">
        <w:rPr>
          <w:rFonts w:ascii="Arial" w:hAnsi="Arial" w:cs="Arial"/>
          <w:color w:val="000000"/>
          <w:sz w:val="20"/>
          <w:szCs w:val="20"/>
        </w:rPr>
        <w:t>Personería Municipal, con el fin de mantener trazabilidad del desarrollo</w:t>
      </w:r>
      <w:r w:rsidR="00D8154E" w:rsidRPr="00920CE2">
        <w:rPr>
          <w:rFonts w:ascii="Arial" w:hAnsi="Arial" w:cs="Arial"/>
          <w:color w:val="000000"/>
          <w:sz w:val="20"/>
          <w:szCs w:val="20"/>
        </w:rPr>
        <w:t xml:space="preserve"> </w:t>
      </w:r>
      <w:r w:rsidRPr="00920CE2">
        <w:rPr>
          <w:rFonts w:ascii="Arial" w:hAnsi="Arial" w:cs="Arial"/>
          <w:color w:val="000000"/>
          <w:sz w:val="20"/>
          <w:szCs w:val="20"/>
        </w:rPr>
        <w:t>del proceso.</w:t>
      </w:r>
    </w:p>
    <w:p w14:paraId="56D0B1BF" w14:textId="77777777" w:rsidR="00D8154E" w:rsidRPr="00920CE2" w:rsidRDefault="005609CD" w:rsidP="00D8154E">
      <w:pPr>
        <w:pStyle w:val="NormalWeb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>Proyección y envío de solicitudes para reunión de articulación con las</w:t>
      </w:r>
      <w:r w:rsidR="00D8154E" w:rsidRPr="00920CE2">
        <w:rPr>
          <w:rFonts w:ascii="Arial" w:hAnsi="Arial" w:cs="Arial"/>
          <w:color w:val="000000"/>
          <w:sz w:val="20"/>
          <w:szCs w:val="20"/>
        </w:rPr>
        <w:t xml:space="preserve"> </w:t>
      </w:r>
      <w:r w:rsidRPr="00920CE2">
        <w:rPr>
          <w:rFonts w:ascii="Arial" w:hAnsi="Arial" w:cs="Arial"/>
          <w:color w:val="000000"/>
          <w:sz w:val="20"/>
          <w:szCs w:val="20"/>
        </w:rPr>
        <w:t>dependencias que aún no se había logrado realizar reuniones.</w:t>
      </w:r>
      <w:r w:rsidR="00D8154E" w:rsidRPr="00920CE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7B66E59" w14:textId="05800667" w:rsidR="009C7924" w:rsidRPr="00920CE2" w:rsidRDefault="005609CD" w:rsidP="00C30170">
      <w:pPr>
        <w:pStyle w:val="NormalWeb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>Avance en la metodología para el análisis y modificación del Plan</w:t>
      </w:r>
      <w:r w:rsidR="00C30170" w:rsidRPr="00920CE2">
        <w:rPr>
          <w:rFonts w:ascii="Arial" w:hAnsi="Arial" w:cs="Arial"/>
          <w:color w:val="000000"/>
          <w:sz w:val="20"/>
          <w:szCs w:val="20"/>
        </w:rPr>
        <w:t xml:space="preserve"> </w:t>
      </w:r>
      <w:r w:rsidRPr="00920CE2">
        <w:rPr>
          <w:rFonts w:ascii="Arial" w:hAnsi="Arial" w:cs="Arial"/>
          <w:color w:val="000000"/>
          <w:sz w:val="20"/>
          <w:szCs w:val="20"/>
        </w:rPr>
        <w:t>Operativo con base en los resultados del análisis de los Documentos</w:t>
      </w:r>
      <w:r w:rsidR="00C30170" w:rsidRPr="00920CE2">
        <w:rPr>
          <w:rFonts w:ascii="Arial" w:hAnsi="Arial" w:cs="Arial"/>
          <w:color w:val="000000"/>
          <w:sz w:val="20"/>
          <w:szCs w:val="20"/>
        </w:rPr>
        <w:t xml:space="preserve"> </w:t>
      </w:r>
      <w:r w:rsidRPr="00920CE2">
        <w:rPr>
          <w:rFonts w:ascii="Arial" w:hAnsi="Arial" w:cs="Arial"/>
          <w:color w:val="000000"/>
          <w:sz w:val="20"/>
          <w:szCs w:val="20"/>
        </w:rPr>
        <w:t>Técnicos de Soporte</w:t>
      </w:r>
    </w:p>
    <w:p w14:paraId="44487942" w14:textId="77777777" w:rsidR="00AC3105" w:rsidRPr="00920CE2" w:rsidRDefault="00AC3105" w:rsidP="00AC3105">
      <w:pPr>
        <w:pStyle w:val="NormalWeb"/>
        <w:numPr>
          <w:ilvl w:val="0"/>
          <w:numId w:val="8"/>
        </w:numPr>
        <w:spacing w:before="0" w:beforeAutospacing="0" w:after="0"/>
        <w:rPr>
          <w:rFonts w:ascii="Arial" w:hAnsi="Arial" w:cs="Arial"/>
          <w:b/>
          <w:color w:val="000000"/>
          <w:sz w:val="20"/>
          <w:szCs w:val="20"/>
        </w:rPr>
      </w:pPr>
      <w:r w:rsidRPr="00920CE2">
        <w:rPr>
          <w:rFonts w:ascii="Arial" w:hAnsi="Arial" w:cs="Arial"/>
          <w:b/>
          <w:color w:val="000000"/>
          <w:sz w:val="20"/>
          <w:szCs w:val="20"/>
        </w:rPr>
        <w:t>Fase de Formulación de las Políticas.</w:t>
      </w:r>
    </w:p>
    <w:p w14:paraId="44487943" w14:textId="77777777" w:rsidR="00AC3105" w:rsidRPr="00920CE2" w:rsidRDefault="00AC3105" w:rsidP="00AC3105">
      <w:pPr>
        <w:pStyle w:val="NormalWeb"/>
        <w:numPr>
          <w:ilvl w:val="0"/>
          <w:numId w:val="9"/>
        </w:numPr>
        <w:spacing w:before="0" w:beforeAutospacing="0" w:after="0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>Política de Hábitat: Con un 80% de avance, en etapa avanzada, pendiente de armonización con metas, consolidación del árbol de problemas y resultados de participación.</w:t>
      </w:r>
    </w:p>
    <w:p w14:paraId="44487944" w14:textId="77777777" w:rsidR="00AC3105" w:rsidRPr="00920CE2" w:rsidRDefault="00AC3105" w:rsidP="00AC3105">
      <w:pPr>
        <w:pStyle w:val="NormalWeb"/>
        <w:numPr>
          <w:ilvl w:val="0"/>
          <w:numId w:val="9"/>
        </w:numPr>
        <w:spacing w:before="0" w:beforeAutospacing="0" w:after="0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>Ecourbanismo: A mitad de camino, con 50%, requiere revisión de objetivos y validación participativa.</w:t>
      </w:r>
    </w:p>
    <w:p w14:paraId="44487945" w14:textId="77777777" w:rsidR="00AC3105" w:rsidRPr="00920CE2" w:rsidRDefault="00AC3105" w:rsidP="00AC3105">
      <w:pPr>
        <w:pStyle w:val="NormalWeb"/>
        <w:numPr>
          <w:ilvl w:val="0"/>
          <w:numId w:val="9"/>
        </w:numPr>
        <w:spacing w:before="0" w:beforeAutospacing="0" w:after="0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>Implicación: La formulación de Hábitat está más consolidada; Ecourbanismo necesita mayor énfasis en participación y revisión estratégica.</w:t>
      </w:r>
    </w:p>
    <w:p w14:paraId="44487946" w14:textId="77777777" w:rsidR="00AC3105" w:rsidRPr="00920CE2" w:rsidRDefault="00AC3105" w:rsidP="00AC3105">
      <w:pPr>
        <w:pStyle w:val="NormalWeb"/>
        <w:numPr>
          <w:ilvl w:val="0"/>
          <w:numId w:val="10"/>
        </w:numPr>
        <w:spacing w:before="0" w:beforeAutospacing="0" w:after="0"/>
        <w:rPr>
          <w:rFonts w:ascii="Arial" w:hAnsi="Arial" w:cs="Arial"/>
          <w:b/>
          <w:color w:val="000000"/>
          <w:sz w:val="20"/>
          <w:szCs w:val="20"/>
        </w:rPr>
      </w:pPr>
      <w:r w:rsidRPr="00920CE2">
        <w:rPr>
          <w:rFonts w:ascii="Arial" w:hAnsi="Arial" w:cs="Arial"/>
          <w:b/>
          <w:color w:val="000000"/>
          <w:sz w:val="20"/>
          <w:szCs w:val="20"/>
        </w:rPr>
        <w:t>Componentes Técnicos y de Seguimiento.</w:t>
      </w:r>
    </w:p>
    <w:p w14:paraId="44487947" w14:textId="77777777" w:rsidR="00AC3105" w:rsidRPr="00920CE2" w:rsidRDefault="00AC3105" w:rsidP="000444A4">
      <w:pPr>
        <w:pStyle w:val="Normal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>Batería de Indicadores: Ambos: 55% de avance, pendiente de elaborar la “hoja de vida” en formato DIRSIE-DIPLAN, con armonización adicional para Ecourbanismo.</w:t>
      </w:r>
    </w:p>
    <w:p w14:paraId="44487948" w14:textId="77777777" w:rsidR="00AC3105" w:rsidRPr="00920CE2" w:rsidRDefault="00AC3105" w:rsidP="000444A4">
      <w:pPr>
        <w:pStyle w:val="Normal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>Plan Operativo: Ambos: 65%, requiere revisión de programas y confirmación de recursos.</w:t>
      </w:r>
    </w:p>
    <w:p w14:paraId="44487949" w14:textId="77777777" w:rsidR="00AC3105" w:rsidRPr="00920CE2" w:rsidRDefault="00AC3105" w:rsidP="000444A4">
      <w:pPr>
        <w:pStyle w:val="Normal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>Implicación: Se requiere mayor trabajo en indicadores y recursos para garantizar la implementación efectiva.</w:t>
      </w:r>
    </w:p>
    <w:p w14:paraId="4448794A" w14:textId="77777777" w:rsidR="00AC3105" w:rsidRPr="00920CE2" w:rsidRDefault="00AC3105" w:rsidP="00AC3105">
      <w:pPr>
        <w:pStyle w:val="NormalWeb"/>
        <w:numPr>
          <w:ilvl w:val="0"/>
          <w:numId w:val="12"/>
        </w:numPr>
        <w:spacing w:before="0" w:beforeAutospacing="0" w:after="0"/>
        <w:rPr>
          <w:rFonts w:ascii="Arial" w:hAnsi="Arial" w:cs="Arial"/>
          <w:b/>
          <w:color w:val="000000"/>
          <w:sz w:val="20"/>
          <w:szCs w:val="20"/>
        </w:rPr>
      </w:pPr>
      <w:r w:rsidRPr="00920CE2">
        <w:rPr>
          <w:rFonts w:ascii="Arial" w:hAnsi="Arial" w:cs="Arial"/>
          <w:b/>
          <w:color w:val="000000"/>
          <w:sz w:val="20"/>
          <w:szCs w:val="20"/>
        </w:rPr>
        <w:t>Planes Complementarios y de Implementación</w:t>
      </w:r>
    </w:p>
    <w:p w14:paraId="4448794B" w14:textId="5CB200A6" w:rsidR="000444A4" w:rsidRPr="00920CE2" w:rsidRDefault="00AC3105" w:rsidP="00867196">
      <w:pPr>
        <w:pStyle w:val="NormalWeb"/>
        <w:numPr>
          <w:ilvl w:val="0"/>
          <w:numId w:val="15"/>
        </w:numPr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 xml:space="preserve">Plan Financiero de Hábitat: Muy avanzado, solo 20%, pendiente de reunión con </w:t>
      </w:r>
      <w:r w:rsidR="00867196">
        <w:rPr>
          <w:rFonts w:ascii="Arial" w:hAnsi="Arial" w:cs="Arial"/>
          <w:color w:val="000000"/>
          <w:sz w:val="20"/>
          <w:szCs w:val="20"/>
        </w:rPr>
        <w:t xml:space="preserve">la </w:t>
      </w:r>
      <w:r w:rsidRPr="00920CE2">
        <w:rPr>
          <w:rFonts w:ascii="Arial" w:hAnsi="Arial" w:cs="Arial"/>
          <w:color w:val="000000"/>
          <w:sz w:val="20"/>
          <w:szCs w:val="20"/>
        </w:rPr>
        <w:t>Secretar</w:t>
      </w:r>
      <w:r w:rsidR="00867196">
        <w:rPr>
          <w:rFonts w:ascii="Arial" w:hAnsi="Arial" w:cs="Arial"/>
          <w:color w:val="000000"/>
          <w:sz w:val="20"/>
          <w:szCs w:val="20"/>
        </w:rPr>
        <w:t>í</w:t>
      </w:r>
      <w:r w:rsidRPr="00920CE2">
        <w:rPr>
          <w:rFonts w:ascii="Arial" w:hAnsi="Arial" w:cs="Arial"/>
          <w:color w:val="000000"/>
          <w:sz w:val="20"/>
          <w:szCs w:val="20"/>
        </w:rPr>
        <w:t xml:space="preserve">a </w:t>
      </w:r>
      <w:r w:rsidR="00867196">
        <w:rPr>
          <w:rFonts w:ascii="Arial" w:hAnsi="Arial" w:cs="Arial"/>
          <w:color w:val="000000"/>
          <w:sz w:val="20"/>
          <w:szCs w:val="20"/>
        </w:rPr>
        <w:t xml:space="preserve">de </w:t>
      </w:r>
      <w:r w:rsidRPr="00920CE2">
        <w:rPr>
          <w:rFonts w:ascii="Arial" w:hAnsi="Arial" w:cs="Arial"/>
          <w:color w:val="000000"/>
          <w:sz w:val="20"/>
          <w:szCs w:val="20"/>
        </w:rPr>
        <w:t>Hacienda.</w:t>
      </w:r>
    </w:p>
    <w:p w14:paraId="4448794C" w14:textId="77777777" w:rsidR="00AC3105" w:rsidRPr="00920CE2" w:rsidRDefault="00AC3105" w:rsidP="000444A4">
      <w:pPr>
        <w:pStyle w:val="NormalWeb"/>
        <w:numPr>
          <w:ilvl w:val="0"/>
          <w:numId w:val="15"/>
        </w:numPr>
        <w:spacing w:before="0" w:beforeAutospacing="0" w:after="0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lastRenderedPageBreak/>
        <w:t>Plan de Divulgación y Pedagogía:</w:t>
      </w:r>
    </w:p>
    <w:p w14:paraId="4448794D" w14:textId="0FB8E9B7" w:rsidR="002E140A" w:rsidRPr="00920CE2" w:rsidRDefault="00AC3105" w:rsidP="000444A4">
      <w:pPr>
        <w:pStyle w:val="NormalWeb"/>
        <w:numPr>
          <w:ilvl w:val="2"/>
          <w:numId w:val="15"/>
        </w:numPr>
        <w:spacing w:before="0" w:beforeAutospacing="0" w:after="0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 xml:space="preserve">Hábitat: </w:t>
      </w:r>
      <w:r w:rsidR="00747EA3" w:rsidRPr="00920CE2">
        <w:rPr>
          <w:rFonts w:ascii="Arial" w:hAnsi="Arial" w:cs="Arial"/>
          <w:color w:val="000000"/>
          <w:sz w:val="20"/>
          <w:szCs w:val="20"/>
        </w:rPr>
        <w:t>7</w:t>
      </w:r>
      <w:r w:rsidRPr="00920CE2">
        <w:rPr>
          <w:rFonts w:ascii="Arial" w:hAnsi="Arial" w:cs="Arial"/>
          <w:color w:val="000000"/>
          <w:sz w:val="20"/>
          <w:szCs w:val="20"/>
        </w:rPr>
        <w:t>0%</w:t>
      </w:r>
    </w:p>
    <w:p w14:paraId="4448794E" w14:textId="7E5D1CDD" w:rsidR="000444A4" w:rsidRPr="00920CE2" w:rsidRDefault="00AC3105" w:rsidP="000444A4">
      <w:pPr>
        <w:pStyle w:val="NormalWeb"/>
        <w:numPr>
          <w:ilvl w:val="2"/>
          <w:numId w:val="15"/>
        </w:numPr>
        <w:spacing w:before="0" w:beforeAutospacing="0" w:after="0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 xml:space="preserve">Ecourbanismo: </w:t>
      </w:r>
      <w:r w:rsidR="00747EA3" w:rsidRPr="00920CE2">
        <w:rPr>
          <w:rFonts w:ascii="Arial" w:hAnsi="Arial" w:cs="Arial"/>
          <w:color w:val="000000"/>
          <w:sz w:val="20"/>
          <w:szCs w:val="20"/>
        </w:rPr>
        <w:t>50</w:t>
      </w:r>
      <w:r w:rsidRPr="00920CE2">
        <w:rPr>
          <w:rFonts w:ascii="Arial" w:hAnsi="Arial" w:cs="Arial"/>
          <w:color w:val="000000"/>
          <w:sz w:val="20"/>
          <w:szCs w:val="20"/>
        </w:rPr>
        <w:t>%</w:t>
      </w:r>
    </w:p>
    <w:p w14:paraId="4448794F" w14:textId="77777777" w:rsidR="000444A4" w:rsidRPr="00920CE2" w:rsidRDefault="00AC3105" w:rsidP="000444A4">
      <w:pPr>
        <w:pStyle w:val="NormalWeb"/>
        <w:numPr>
          <w:ilvl w:val="2"/>
          <w:numId w:val="15"/>
        </w:numPr>
        <w:spacing w:before="0" w:beforeAutospacing="0" w:after="0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>Pendiente consolidar fases de formulación y reuniones con actores clave.</w:t>
      </w:r>
    </w:p>
    <w:p w14:paraId="44487950" w14:textId="77777777" w:rsidR="000444A4" w:rsidRPr="00920CE2" w:rsidRDefault="00AC3105" w:rsidP="000444A4">
      <w:pPr>
        <w:pStyle w:val="NormalWeb"/>
        <w:numPr>
          <w:ilvl w:val="2"/>
          <w:numId w:val="15"/>
        </w:numPr>
        <w:spacing w:before="0" w:beforeAutospacing="0" w:after="0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>Plan para la Implementación:</w:t>
      </w:r>
    </w:p>
    <w:p w14:paraId="44487951" w14:textId="423927F1" w:rsidR="000444A4" w:rsidRPr="00920CE2" w:rsidRDefault="00AC3105" w:rsidP="000444A4">
      <w:pPr>
        <w:pStyle w:val="NormalWeb"/>
        <w:numPr>
          <w:ilvl w:val="2"/>
          <w:numId w:val="15"/>
        </w:numPr>
        <w:spacing w:before="0" w:beforeAutospacing="0" w:after="0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 xml:space="preserve">Hábitat: </w:t>
      </w:r>
      <w:r w:rsidR="00747EA3" w:rsidRPr="00920CE2">
        <w:rPr>
          <w:rFonts w:ascii="Arial" w:hAnsi="Arial" w:cs="Arial"/>
          <w:color w:val="000000"/>
          <w:sz w:val="20"/>
          <w:szCs w:val="20"/>
        </w:rPr>
        <w:t>60</w:t>
      </w:r>
      <w:r w:rsidRPr="00920CE2">
        <w:rPr>
          <w:rFonts w:ascii="Arial" w:hAnsi="Arial" w:cs="Arial"/>
          <w:color w:val="000000"/>
          <w:sz w:val="20"/>
          <w:szCs w:val="20"/>
        </w:rPr>
        <w:t>%</w:t>
      </w:r>
    </w:p>
    <w:p w14:paraId="44487952" w14:textId="5F76B614" w:rsidR="000444A4" w:rsidRPr="00920CE2" w:rsidRDefault="00AC3105" w:rsidP="000444A4">
      <w:pPr>
        <w:pStyle w:val="NormalWeb"/>
        <w:numPr>
          <w:ilvl w:val="2"/>
          <w:numId w:val="15"/>
        </w:numPr>
        <w:spacing w:before="0" w:beforeAutospacing="0" w:after="0"/>
        <w:rPr>
          <w:rFonts w:ascii="Arial" w:hAnsi="Arial" w:cs="Arial"/>
          <w:color w:val="000000"/>
          <w:sz w:val="20"/>
          <w:szCs w:val="20"/>
        </w:rPr>
      </w:pPr>
      <w:r w:rsidRPr="00920CE2">
        <w:rPr>
          <w:rFonts w:ascii="Arial" w:hAnsi="Arial" w:cs="Arial"/>
          <w:color w:val="000000"/>
          <w:sz w:val="20"/>
          <w:szCs w:val="20"/>
        </w:rPr>
        <w:t xml:space="preserve">Ecourbanismo: </w:t>
      </w:r>
      <w:r w:rsidR="00747EA3" w:rsidRPr="00920CE2">
        <w:rPr>
          <w:rFonts w:ascii="Arial" w:hAnsi="Arial" w:cs="Arial"/>
          <w:color w:val="000000"/>
          <w:sz w:val="20"/>
          <w:szCs w:val="20"/>
        </w:rPr>
        <w:t>50</w:t>
      </w:r>
      <w:r w:rsidRPr="00920CE2">
        <w:rPr>
          <w:rFonts w:ascii="Arial" w:hAnsi="Arial" w:cs="Arial"/>
          <w:color w:val="000000"/>
          <w:sz w:val="20"/>
          <w:szCs w:val="20"/>
        </w:rPr>
        <w:t>%</w:t>
      </w:r>
    </w:p>
    <w:p w14:paraId="74FA7F2B" w14:textId="3B9E8A93" w:rsidR="009F6B6E" w:rsidRPr="00920CE2" w:rsidRDefault="009F6B6E" w:rsidP="00867196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CO"/>
        </w:rPr>
      </w:pPr>
      <w:r w:rsidRPr="00920CE2">
        <w:rPr>
          <w:rFonts w:ascii="Arial" w:hAnsi="Arial" w:cs="Arial"/>
          <w:b/>
          <w:bCs/>
          <w:sz w:val="20"/>
          <w:szCs w:val="20"/>
          <w:lang w:val="es-CO"/>
        </w:rPr>
        <w:t>Apoyar la definición de lineamientos ecológicos en el urbanismo a través instrumentos jurídicos para la implementación en proyectos nuevos.</w:t>
      </w:r>
    </w:p>
    <w:p w14:paraId="103425E5" w14:textId="77777777" w:rsidR="009F6B6E" w:rsidRPr="009F6B6E" w:rsidRDefault="009F6B6E" w:rsidP="009F6B6E">
      <w:pPr>
        <w:pStyle w:val="Prrafodelista"/>
        <w:autoSpaceDE w:val="0"/>
        <w:autoSpaceDN w:val="0"/>
        <w:adjustRightInd w:val="0"/>
        <w:rPr>
          <w:rFonts w:ascii="CenturyGothic-Bold" w:hAnsi="CenturyGothic-Bold" w:cs="CenturyGothic-Bold"/>
          <w:b/>
          <w:bCs/>
          <w:sz w:val="20"/>
          <w:szCs w:val="20"/>
          <w:lang w:val="es-CO"/>
        </w:rPr>
      </w:pPr>
    </w:p>
    <w:p w14:paraId="2E2FE8CE" w14:textId="1B8FC99C" w:rsidR="009F6B6E" w:rsidRPr="00867196" w:rsidRDefault="009F6B6E" w:rsidP="00867196">
      <w:pPr>
        <w:pStyle w:val="NormalWeb"/>
        <w:numPr>
          <w:ilvl w:val="0"/>
          <w:numId w:val="18"/>
        </w:numPr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867196">
        <w:rPr>
          <w:rFonts w:ascii="Arial" w:hAnsi="Arial" w:cs="Arial"/>
          <w:color w:val="000000"/>
          <w:sz w:val="20"/>
          <w:szCs w:val="20"/>
        </w:rPr>
        <w:t>Se realizó reunión con la Dirección de Urbanismo con el fin de conocer</w:t>
      </w:r>
      <w:r w:rsidR="00867196" w:rsidRPr="008671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7196">
        <w:rPr>
          <w:rFonts w:ascii="Arial" w:hAnsi="Arial" w:cs="Arial"/>
          <w:color w:val="000000"/>
          <w:sz w:val="20"/>
          <w:szCs w:val="20"/>
        </w:rPr>
        <w:t>cuál es la metodología que actualmente tienen en la dirección, cuando</w:t>
      </w:r>
      <w:r w:rsidR="00867196" w:rsidRPr="008671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7196">
        <w:rPr>
          <w:rFonts w:ascii="Arial" w:hAnsi="Arial" w:cs="Arial"/>
          <w:color w:val="000000"/>
          <w:sz w:val="20"/>
          <w:szCs w:val="20"/>
        </w:rPr>
        <w:t>un ciudadano radica una petición para tramitar licencia de</w:t>
      </w:r>
      <w:r w:rsidR="00867196" w:rsidRPr="008671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7196">
        <w:rPr>
          <w:rFonts w:ascii="Arial" w:hAnsi="Arial" w:cs="Arial"/>
          <w:color w:val="000000"/>
          <w:sz w:val="20"/>
          <w:szCs w:val="20"/>
        </w:rPr>
        <w:t>construcción aplicando a incentivos urbanísticos por compensación</w:t>
      </w:r>
      <w:r w:rsidR="00867196" w:rsidRPr="008671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7196">
        <w:rPr>
          <w:rFonts w:ascii="Arial" w:hAnsi="Arial" w:cs="Arial"/>
          <w:color w:val="000000"/>
          <w:sz w:val="20"/>
          <w:szCs w:val="20"/>
        </w:rPr>
        <w:t>con medidas ambientales en el interior de los proyectos.</w:t>
      </w:r>
    </w:p>
    <w:p w14:paraId="0538A1DC" w14:textId="7ACC520E" w:rsidR="009F6B6E" w:rsidRPr="00867196" w:rsidRDefault="009F6B6E" w:rsidP="00867196">
      <w:pPr>
        <w:pStyle w:val="NormalWeb"/>
        <w:numPr>
          <w:ilvl w:val="0"/>
          <w:numId w:val="18"/>
        </w:numPr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867196">
        <w:rPr>
          <w:rFonts w:ascii="Arial" w:hAnsi="Arial" w:cs="Arial"/>
          <w:color w:val="000000"/>
          <w:sz w:val="20"/>
          <w:szCs w:val="20"/>
        </w:rPr>
        <w:t>Se compartió a l dirección de Urbanismo la Resolución no. 0195 de</w:t>
      </w:r>
      <w:r w:rsidR="00867196" w:rsidRPr="008671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7196">
        <w:rPr>
          <w:rFonts w:ascii="Arial" w:hAnsi="Arial" w:cs="Arial"/>
          <w:color w:val="000000"/>
          <w:sz w:val="20"/>
          <w:szCs w:val="20"/>
        </w:rPr>
        <w:t>2025 expedida por el Ministerio de Vivienda Ciudad y Territorio para</w:t>
      </w:r>
      <w:r w:rsidR="00867196" w:rsidRPr="008671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7196">
        <w:rPr>
          <w:rFonts w:ascii="Arial" w:hAnsi="Arial" w:cs="Arial"/>
          <w:color w:val="000000"/>
          <w:sz w:val="20"/>
          <w:szCs w:val="20"/>
        </w:rPr>
        <w:t>conocimiento y posterior necesidad de aplicación por parte de la</w:t>
      </w:r>
      <w:r w:rsidR="00867196" w:rsidRPr="008671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7196">
        <w:rPr>
          <w:rFonts w:ascii="Arial" w:hAnsi="Arial" w:cs="Arial"/>
          <w:color w:val="000000"/>
          <w:sz w:val="20"/>
          <w:szCs w:val="20"/>
        </w:rPr>
        <w:t>dirección.</w:t>
      </w:r>
    </w:p>
    <w:p w14:paraId="3CDB542C" w14:textId="615A08F4" w:rsidR="009F6B6E" w:rsidRPr="00867196" w:rsidRDefault="009F6B6E" w:rsidP="00867196">
      <w:pPr>
        <w:pStyle w:val="NormalWeb"/>
        <w:numPr>
          <w:ilvl w:val="0"/>
          <w:numId w:val="18"/>
        </w:numPr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867196">
        <w:rPr>
          <w:rFonts w:ascii="Arial" w:hAnsi="Arial" w:cs="Arial"/>
          <w:color w:val="000000"/>
          <w:sz w:val="20"/>
          <w:szCs w:val="20"/>
        </w:rPr>
        <w:t>Se hizo seguimiento a la solicitud de información necesaria a la</w:t>
      </w:r>
      <w:r w:rsidR="00867196" w:rsidRPr="008671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7196">
        <w:rPr>
          <w:rFonts w:ascii="Arial" w:hAnsi="Arial" w:cs="Arial"/>
          <w:color w:val="000000"/>
          <w:sz w:val="20"/>
          <w:szCs w:val="20"/>
        </w:rPr>
        <w:t>Empresa de Servicios Públicos de Chía relacionada con la reunión de</w:t>
      </w:r>
      <w:r w:rsidR="00867196" w:rsidRPr="008671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7196">
        <w:rPr>
          <w:rFonts w:ascii="Arial" w:hAnsi="Arial" w:cs="Arial"/>
          <w:color w:val="000000"/>
          <w:sz w:val="20"/>
          <w:szCs w:val="20"/>
        </w:rPr>
        <w:t>articulación pasada.</w:t>
      </w:r>
    </w:p>
    <w:p w14:paraId="34191E63" w14:textId="782358B0" w:rsidR="009F6B6E" w:rsidRPr="00867196" w:rsidRDefault="009F6B6E" w:rsidP="00867196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CO"/>
        </w:rPr>
      </w:pPr>
      <w:r w:rsidRPr="00867196">
        <w:rPr>
          <w:rFonts w:ascii="Arial" w:hAnsi="Arial" w:cs="Arial"/>
          <w:b/>
          <w:bCs/>
          <w:sz w:val="20"/>
          <w:szCs w:val="20"/>
          <w:lang w:val="es-CO"/>
        </w:rPr>
        <w:t>Apoyar la coordinación técnica del equipo para la adopción e implementación</w:t>
      </w:r>
      <w:r w:rsidR="00867196" w:rsidRPr="00867196">
        <w:rPr>
          <w:rFonts w:ascii="Arial" w:hAnsi="Arial" w:cs="Arial"/>
          <w:b/>
          <w:bCs/>
          <w:sz w:val="20"/>
          <w:szCs w:val="20"/>
          <w:lang w:val="es-CO"/>
        </w:rPr>
        <w:t xml:space="preserve"> </w:t>
      </w:r>
      <w:r w:rsidRPr="00867196">
        <w:rPr>
          <w:rFonts w:ascii="Arial" w:hAnsi="Arial" w:cs="Arial"/>
          <w:b/>
          <w:bCs/>
          <w:sz w:val="20"/>
          <w:szCs w:val="20"/>
          <w:lang w:val="es-CO"/>
        </w:rPr>
        <w:t>del sistema de información de las políticas públicas de Hábitat y Ecourbanismo</w:t>
      </w:r>
    </w:p>
    <w:p w14:paraId="380CEC5A" w14:textId="77777777" w:rsidR="00867196" w:rsidRPr="00867196" w:rsidRDefault="00867196" w:rsidP="00867196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6EA4BB8" w14:textId="03A097F0" w:rsidR="009F6B6E" w:rsidRPr="00867196" w:rsidRDefault="009F6B6E" w:rsidP="00867196">
      <w:pPr>
        <w:pStyle w:val="NormalWeb"/>
        <w:spacing w:before="0" w:beforeAutospacing="0" w:after="0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867196">
        <w:rPr>
          <w:rFonts w:ascii="Arial" w:hAnsi="Arial" w:cs="Arial"/>
          <w:color w:val="000000"/>
          <w:sz w:val="20"/>
          <w:szCs w:val="20"/>
        </w:rPr>
        <w:t>El día 6 de agosto se realizó reunión con la Secretaría de Planeación</w:t>
      </w:r>
      <w:r w:rsidR="00867196" w:rsidRPr="008671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7196">
        <w:rPr>
          <w:rFonts w:ascii="Arial" w:hAnsi="Arial" w:cs="Arial"/>
          <w:color w:val="000000"/>
          <w:sz w:val="20"/>
          <w:szCs w:val="20"/>
        </w:rPr>
        <w:t>con el fin de articular el estado de las políticas públicas de la dirección</w:t>
      </w:r>
      <w:r w:rsidR="00867196" w:rsidRPr="008671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7196">
        <w:rPr>
          <w:rFonts w:ascii="Arial" w:hAnsi="Arial" w:cs="Arial"/>
          <w:color w:val="000000"/>
          <w:sz w:val="20"/>
          <w:szCs w:val="20"/>
        </w:rPr>
        <w:t>de Ordenamiento Territorial con el Instituto de Desarrollo Urbano,</w:t>
      </w:r>
      <w:r w:rsidR="00867196" w:rsidRPr="008671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7196">
        <w:rPr>
          <w:rFonts w:ascii="Arial" w:hAnsi="Arial" w:cs="Arial"/>
          <w:color w:val="000000"/>
          <w:sz w:val="20"/>
          <w:szCs w:val="20"/>
        </w:rPr>
        <w:t>Vivienda y Gestión Territorial IDUVI de Chía.</w:t>
      </w:r>
    </w:p>
    <w:p w14:paraId="66FAD6B9" w14:textId="6A1CB61F" w:rsidR="00BD2D6A" w:rsidRDefault="00AC3105" w:rsidP="00867196">
      <w:pPr>
        <w:pStyle w:val="NormalWeb"/>
        <w:spacing w:before="0" w:beforeAutospacing="0" w:after="0"/>
        <w:ind w:left="708"/>
        <w:rPr>
          <w:rFonts w:ascii="Arial" w:hAnsi="Arial" w:cs="Arial"/>
          <w:color w:val="000000"/>
          <w:sz w:val="20"/>
          <w:szCs w:val="20"/>
        </w:rPr>
      </w:pPr>
      <w:r w:rsidRPr="002E140A">
        <w:rPr>
          <w:rFonts w:ascii="Arial" w:hAnsi="Arial" w:cs="Arial"/>
          <w:color w:val="000000"/>
          <w:sz w:val="20"/>
          <w:szCs w:val="20"/>
        </w:rPr>
        <w:t>Implicación: La divulgación y planes de implementación presentan avances significativos, aunque requieren mayor consolidación y recursos.</w:t>
      </w:r>
    </w:p>
    <w:p w14:paraId="44487956" w14:textId="22DF0295" w:rsidR="000444A4" w:rsidRPr="00867196" w:rsidRDefault="00867196" w:rsidP="00867196">
      <w:pPr>
        <w:pStyle w:val="NormalWeb"/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Adicional, t</w:t>
      </w:r>
      <w:r w:rsidR="000444A4" w:rsidRPr="000444A4">
        <w:rPr>
          <w:rFonts w:ascii="Arial" w:hAnsi="Arial" w:cs="Arial"/>
          <w:color w:val="000000"/>
          <w:sz w:val="20"/>
          <w:szCs w:val="20"/>
        </w:rPr>
        <w:t xml:space="preserve">ambién existe un contrato en </w:t>
      </w:r>
      <w:r w:rsidR="00667630" w:rsidRPr="000444A4">
        <w:rPr>
          <w:rFonts w:ascii="Arial" w:hAnsi="Arial" w:cs="Arial"/>
          <w:color w:val="000000"/>
          <w:sz w:val="20"/>
          <w:szCs w:val="20"/>
        </w:rPr>
        <w:t>ejecución por</w:t>
      </w:r>
      <w:r w:rsidR="000444A4" w:rsidRPr="000444A4">
        <w:rPr>
          <w:rFonts w:ascii="Arial" w:hAnsi="Arial" w:cs="Arial"/>
          <w:color w:val="000000"/>
          <w:sz w:val="20"/>
          <w:szCs w:val="20"/>
        </w:rPr>
        <w:t xml:space="preserve"> el profesional, en la </w:t>
      </w:r>
      <w:r w:rsidR="00667630" w:rsidRPr="000444A4">
        <w:rPr>
          <w:rFonts w:ascii="Arial" w:hAnsi="Arial" w:cs="Arial"/>
          <w:color w:val="000000"/>
          <w:sz w:val="20"/>
          <w:szCs w:val="20"/>
        </w:rPr>
        <w:t>elaboración y</w:t>
      </w:r>
      <w:r w:rsidR="000444A4" w:rsidRPr="000444A4">
        <w:rPr>
          <w:rFonts w:ascii="Arial" w:hAnsi="Arial" w:cs="Arial"/>
          <w:color w:val="000000"/>
          <w:sz w:val="20"/>
          <w:szCs w:val="20"/>
        </w:rPr>
        <w:t xml:space="preserve"> actualización de los documentos, con periodo de 8 meses comprendido entre 28 de enero a 27 de septiembre. </w:t>
      </w:r>
    </w:p>
    <w:tbl>
      <w:tblPr>
        <w:tblW w:w="76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8"/>
        <w:gridCol w:w="3807"/>
      </w:tblGrid>
      <w:tr w:rsidR="000444A4" w:rsidRPr="00867196" w14:paraId="44487959" w14:textId="77777777" w:rsidTr="00867196">
        <w:trPr>
          <w:trHeight w:val="878"/>
          <w:jc w:val="center"/>
        </w:trPr>
        <w:tc>
          <w:tcPr>
            <w:tcW w:w="3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4487957" w14:textId="77777777" w:rsidR="000444A4" w:rsidRPr="00867196" w:rsidRDefault="000444A4" w:rsidP="000444A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867196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  <w:t>Actividad plan del plan de acción asociada a la Meta Producto</w:t>
            </w:r>
          </w:p>
        </w:tc>
        <w:tc>
          <w:tcPr>
            <w:tcW w:w="3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4487958" w14:textId="77777777" w:rsidR="000444A4" w:rsidRPr="00867196" w:rsidRDefault="000444A4" w:rsidP="000444A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867196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  <w:t>No. contrato</w:t>
            </w:r>
          </w:p>
        </w:tc>
      </w:tr>
      <w:tr w:rsidR="000444A4" w:rsidRPr="00867196" w14:paraId="4448795C" w14:textId="77777777" w:rsidTr="00867196">
        <w:trPr>
          <w:trHeight w:val="852"/>
          <w:jc w:val="center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8795A" w14:textId="77777777" w:rsidR="000444A4" w:rsidRPr="00867196" w:rsidRDefault="000444A4" w:rsidP="000444A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867196">
              <w:rPr>
                <w:rFonts w:ascii="Arial" w:eastAsia="Times New Roman" w:hAnsi="Arial" w:cs="Arial"/>
                <w:color w:val="000000"/>
                <w:spacing w:val="-2"/>
                <w:sz w:val="22"/>
                <w:szCs w:val="22"/>
                <w:lang w:val="es-CO" w:eastAsia="es-CO"/>
              </w:rPr>
              <w:t>Disponer con los servicios de apoyo a la gestión, de Profesionales en Arquitectura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8795B" w14:textId="77777777" w:rsidR="000444A4" w:rsidRPr="00867196" w:rsidRDefault="000444A4" w:rsidP="00867196">
            <w:pPr>
              <w:jc w:val="both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val="en-US" w:eastAsia="es-CO"/>
              </w:rPr>
            </w:pPr>
            <w:r w:rsidRPr="00867196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val="en-US" w:eastAsia="es-CO"/>
              </w:rPr>
              <w:t xml:space="preserve">CO1.PCCNTR.7343340 </w:t>
            </w:r>
            <w:r w:rsidRPr="00867196">
              <w:rPr>
                <w:rFonts w:ascii="Arial" w:eastAsia="Times New Roman" w:hAnsi="Arial" w:cs="Arial"/>
                <w:color w:val="212529"/>
                <w:sz w:val="22"/>
                <w:szCs w:val="22"/>
                <w:lang w:val="en-US" w:eastAsia="es-CO"/>
              </w:rPr>
              <w:t>Sweigh Wólfram David Cañas Garcia</w:t>
            </w:r>
          </w:p>
        </w:tc>
      </w:tr>
    </w:tbl>
    <w:p w14:paraId="4448795D" w14:textId="77777777" w:rsidR="000444A4" w:rsidRPr="000444A4" w:rsidRDefault="000444A4" w:rsidP="000444A4">
      <w:pPr>
        <w:jc w:val="both"/>
        <w:rPr>
          <w:rFonts w:ascii="Arial" w:hAnsi="Arial" w:cs="Arial"/>
          <w:spacing w:val="-2"/>
          <w:lang w:val="en-US"/>
        </w:rPr>
      </w:pPr>
    </w:p>
    <w:p w14:paraId="4448795E" w14:textId="77777777" w:rsidR="00AC3105" w:rsidRPr="000444A4" w:rsidRDefault="00AC3105" w:rsidP="00D13DD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4448795F" w14:textId="77777777" w:rsidR="00AC3105" w:rsidRPr="000444A4" w:rsidRDefault="00AC3105" w:rsidP="00D13DD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44487967" w14:textId="5C3204B2" w:rsidR="00B5351D" w:rsidRPr="00920CE2" w:rsidRDefault="00D13DD5" w:rsidP="00920CE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Elaborado por</w:t>
      </w:r>
      <w:r w:rsidRPr="0071671E">
        <w:rPr>
          <w:rFonts w:ascii="Arial" w:hAnsi="Arial" w:cs="Arial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color w:val="000000"/>
          <w:sz w:val="16"/>
          <w:szCs w:val="16"/>
        </w:rPr>
        <w:t xml:space="preserve">Ingrid  </w:t>
      </w:r>
      <w:r w:rsidRPr="0071671E">
        <w:rPr>
          <w:rFonts w:ascii="Arial" w:hAnsi="Arial" w:cs="Arial"/>
          <w:color w:val="000000"/>
          <w:sz w:val="16"/>
          <w:szCs w:val="16"/>
        </w:rPr>
        <w:t>Dayand Forero Isaza. Profesional Universitario D.O.T.P.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44487968" w14:textId="77777777" w:rsidR="00B5351D" w:rsidRDefault="00B5351D"/>
    <w:sectPr w:rsidR="00B5351D" w:rsidSect="00867196">
      <w:headerReference w:type="even" r:id="rId7"/>
      <w:headerReference w:type="default" r:id="rId8"/>
      <w:headerReference w:type="first" r:id="rId9"/>
      <w:pgSz w:w="12240" w:h="18720" w:code="14"/>
      <w:pgMar w:top="1418" w:right="1701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46C4B" w14:textId="77777777" w:rsidR="00DF6FD5" w:rsidRDefault="00DF6FD5" w:rsidP="009C1AFB">
      <w:r>
        <w:separator/>
      </w:r>
    </w:p>
  </w:endnote>
  <w:endnote w:type="continuationSeparator" w:id="0">
    <w:p w14:paraId="4A32B5B8" w14:textId="77777777" w:rsidR="00DF6FD5" w:rsidRDefault="00DF6FD5" w:rsidP="009C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65E0E" w14:textId="77777777" w:rsidR="00DF6FD5" w:rsidRDefault="00DF6FD5" w:rsidP="009C1AFB">
      <w:r>
        <w:separator/>
      </w:r>
    </w:p>
  </w:footnote>
  <w:footnote w:type="continuationSeparator" w:id="0">
    <w:p w14:paraId="3F957AD1" w14:textId="77777777" w:rsidR="00DF6FD5" w:rsidRDefault="00DF6FD5" w:rsidP="009C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7985" w14:textId="77777777" w:rsidR="009C1AFB" w:rsidRDefault="00000000">
    <w:pPr>
      <w:pStyle w:val="Encabezado"/>
    </w:pPr>
    <w:r>
      <w:rPr>
        <w:noProof/>
      </w:rPr>
      <w:pict w14:anchorId="444879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938975" o:spid="_x0000_s1027" type="#_x0000_t75" alt="/Users/prensachia/Documents/ALCALDIA 2024 -2027/Trabajos/Julio/Papeleria/FINALES/Planeacion/Ordenamiento/Nueva/Ordenamiento Carta-2.png" style="position:absolute;margin-left:0;margin-top:0;width:612pt;height:935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rdenamiento Carta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7987" w14:textId="4F62DA86" w:rsidR="009C1AFB" w:rsidRPr="00867196" w:rsidRDefault="00B5351D" w:rsidP="00867196">
    <w:pPr>
      <w:tabs>
        <w:tab w:val="left" w:pos="5245"/>
      </w:tabs>
      <w:jc w:val="right"/>
      <w:outlineLvl w:val="0"/>
      <w:rPr>
        <w:rFonts w:ascii="Arial" w:hAnsi="Arial" w:cs="Arial"/>
        <w:bCs/>
        <w:noProof/>
        <w:color w:val="000000" w:themeColor="text1"/>
        <w:sz w:val="20"/>
        <w:szCs w:val="20"/>
        <w:lang w:eastAsia="es-CO"/>
      </w:rPr>
    </w:pPr>
    <w:r w:rsidRPr="00867196">
      <w:rPr>
        <w:rFonts w:ascii="Arial" w:eastAsia="Calibri" w:hAnsi="Arial" w:cs="Arial"/>
        <w:bCs/>
        <w:color w:val="000000" w:themeColor="text1"/>
        <w:sz w:val="20"/>
        <w:szCs w:val="20"/>
      </w:rPr>
      <w:t xml:space="preserve">Página </w:t>
    </w:r>
    <w:r w:rsidRPr="00867196">
      <w:rPr>
        <w:rFonts w:ascii="Arial" w:eastAsia="Calibri" w:hAnsi="Arial" w:cs="Arial"/>
        <w:bCs/>
        <w:color w:val="000000" w:themeColor="text1"/>
        <w:sz w:val="20"/>
        <w:szCs w:val="20"/>
      </w:rPr>
      <w:fldChar w:fldCharType="begin"/>
    </w:r>
    <w:r w:rsidRPr="00867196">
      <w:rPr>
        <w:rFonts w:ascii="Arial" w:eastAsia="Calibri" w:hAnsi="Arial" w:cs="Arial"/>
        <w:bCs/>
        <w:color w:val="000000" w:themeColor="text1"/>
        <w:sz w:val="20"/>
        <w:szCs w:val="20"/>
      </w:rPr>
      <w:instrText>PAGE  \* Arabic  \* MERGEFORMAT</w:instrText>
    </w:r>
    <w:r w:rsidRPr="00867196">
      <w:rPr>
        <w:rFonts w:ascii="Arial" w:eastAsia="Calibri" w:hAnsi="Arial" w:cs="Arial"/>
        <w:bCs/>
        <w:color w:val="000000" w:themeColor="text1"/>
        <w:sz w:val="20"/>
        <w:szCs w:val="20"/>
      </w:rPr>
      <w:fldChar w:fldCharType="separate"/>
    </w:r>
    <w:r w:rsidR="000444A4" w:rsidRPr="00867196">
      <w:rPr>
        <w:rFonts w:ascii="Arial" w:eastAsia="Calibri" w:hAnsi="Arial" w:cs="Arial"/>
        <w:bCs/>
        <w:noProof/>
        <w:color w:val="000000" w:themeColor="text1"/>
        <w:sz w:val="20"/>
        <w:szCs w:val="20"/>
      </w:rPr>
      <w:t>4</w:t>
    </w:r>
    <w:r w:rsidRPr="00867196">
      <w:rPr>
        <w:rFonts w:ascii="Arial" w:eastAsia="Calibri" w:hAnsi="Arial" w:cs="Arial"/>
        <w:bCs/>
        <w:color w:val="000000" w:themeColor="text1"/>
        <w:sz w:val="20"/>
        <w:szCs w:val="20"/>
      </w:rPr>
      <w:fldChar w:fldCharType="end"/>
    </w:r>
    <w:r w:rsidRPr="00867196">
      <w:rPr>
        <w:rFonts w:ascii="Arial" w:eastAsia="Calibri" w:hAnsi="Arial" w:cs="Arial"/>
        <w:bCs/>
        <w:color w:val="000000" w:themeColor="text1"/>
        <w:sz w:val="20"/>
        <w:szCs w:val="20"/>
      </w:rPr>
      <w:t xml:space="preserve"> de </w:t>
    </w:r>
    <w:r w:rsidRPr="00867196">
      <w:rPr>
        <w:rFonts w:ascii="Arial" w:eastAsia="Calibri" w:hAnsi="Arial" w:cs="Arial"/>
        <w:bCs/>
        <w:color w:val="000000" w:themeColor="text1"/>
        <w:sz w:val="20"/>
        <w:szCs w:val="20"/>
      </w:rPr>
      <w:fldChar w:fldCharType="begin"/>
    </w:r>
    <w:r w:rsidRPr="00867196">
      <w:rPr>
        <w:rFonts w:ascii="Arial" w:eastAsia="Calibri" w:hAnsi="Arial" w:cs="Arial"/>
        <w:bCs/>
        <w:color w:val="000000" w:themeColor="text1"/>
        <w:sz w:val="20"/>
        <w:szCs w:val="20"/>
      </w:rPr>
      <w:instrText xml:space="preserve"> NUMPAGES   \* MERGEFORMAT </w:instrText>
    </w:r>
    <w:r w:rsidRPr="00867196">
      <w:rPr>
        <w:rFonts w:ascii="Arial" w:eastAsia="Calibri" w:hAnsi="Arial" w:cs="Arial"/>
        <w:bCs/>
        <w:color w:val="000000" w:themeColor="text1"/>
        <w:sz w:val="20"/>
        <w:szCs w:val="20"/>
      </w:rPr>
      <w:fldChar w:fldCharType="separate"/>
    </w:r>
    <w:r w:rsidR="000444A4" w:rsidRPr="00867196">
      <w:rPr>
        <w:rFonts w:ascii="Arial" w:eastAsia="Calibri" w:hAnsi="Arial" w:cs="Arial"/>
        <w:bCs/>
        <w:noProof/>
        <w:color w:val="000000" w:themeColor="text1"/>
        <w:sz w:val="20"/>
        <w:szCs w:val="20"/>
      </w:rPr>
      <w:t>4</w:t>
    </w:r>
    <w:r w:rsidRPr="00867196">
      <w:rPr>
        <w:rFonts w:ascii="Arial" w:eastAsia="Calibri" w:hAnsi="Arial" w:cs="Arial"/>
        <w:bCs/>
        <w:color w:val="000000" w:themeColor="text1"/>
        <w:sz w:val="20"/>
        <w:szCs w:val="20"/>
      </w:rPr>
      <w:fldChar w:fldCharType="end"/>
    </w:r>
    <w:r w:rsidRPr="00867196">
      <w:rPr>
        <w:rFonts w:ascii="Arial" w:hAnsi="Arial" w:cs="Arial"/>
        <w:bCs/>
        <w:noProof/>
        <w:color w:val="000000" w:themeColor="text1"/>
        <w:sz w:val="20"/>
        <w:szCs w:val="20"/>
        <w:lang w:eastAsia="es-CO"/>
      </w:rPr>
      <w:t xml:space="preserve">      </w:t>
    </w:r>
  </w:p>
  <w:p w14:paraId="6660C081" w14:textId="77777777" w:rsidR="00867196" w:rsidRPr="00867196" w:rsidRDefault="00867196" w:rsidP="00B5351D">
    <w:pPr>
      <w:outlineLvl w:val="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7988" w14:textId="77777777" w:rsidR="009C1AFB" w:rsidRDefault="00000000">
    <w:pPr>
      <w:pStyle w:val="Encabezado"/>
    </w:pPr>
    <w:r>
      <w:rPr>
        <w:noProof/>
      </w:rPr>
      <w:pict w14:anchorId="44487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938974" o:spid="_x0000_s1025" type="#_x0000_t75" alt="/Users/prensachia/Documents/ALCALDIA 2024 -2027/Trabajos/Julio/Papeleria/FINALES/Planeacion/Ordenamiento/Nueva/Ordenamiento Carta-2.png" style="position:absolute;margin-left:0;margin-top:0;width:612pt;height:935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rdenamiento Carta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C76"/>
    <w:multiLevelType w:val="multilevel"/>
    <w:tmpl w:val="FB48A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2456E"/>
    <w:multiLevelType w:val="multilevel"/>
    <w:tmpl w:val="97ECC2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95B9B"/>
    <w:multiLevelType w:val="hybridMultilevel"/>
    <w:tmpl w:val="3CF83F26"/>
    <w:lvl w:ilvl="0" w:tplc="EB5494A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F381D"/>
    <w:multiLevelType w:val="multilevel"/>
    <w:tmpl w:val="0682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20E46"/>
    <w:multiLevelType w:val="multilevel"/>
    <w:tmpl w:val="AADA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D1E15"/>
    <w:multiLevelType w:val="multilevel"/>
    <w:tmpl w:val="7E18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D76EE"/>
    <w:multiLevelType w:val="hybridMultilevel"/>
    <w:tmpl w:val="45E274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90E06"/>
    <w:multiLevelType w:val="multilevel"/>
    <w:tmpl w:val="3F506F5C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EA2BC5"/>
    <w:multiLevelType w:val="multilevel"/>
    <w:tmpl w:val="E0C4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D3EF2"/>
    <w:multiLevelType w:val="hybridMultilevel"/>
    <w:tmpl w:val="F07C63C4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FE2B49"/>
    <w:multiLevelType w:val="multilevel"/>
    <w:tmpl w:val="B9F68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EE60AA"/>
    <w:multiLevelType w:val="hybridMultilevel"/>
    <w:tmpl w:val="4532FF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805DE"/>
    <w:multiLevelType w:val="multilevel"/>
    <w:tmpl w:val="E6F01C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510B2B"/>
    <w:multiLevelType w:val="multilevel"/>
    <w:tmpl w:val="46743F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4F3DD6"/>
    <w:multiLevelType w:val="multilevel"/>
    <w:tmpl w:val="0682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F0261D"/>
    <w:multiLevelType w:val="multilevel"/>
    <w:tmpl w:val="DC0A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24F3B"/>
    <w:multiLevelType w:val="multilevel"/>
    <w:tmpl w:val="C1543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C339D2"/>
    <w:multiLevelType w:val="multilevel"/>
    <w:tmpl w:val="0682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847229">
    <w:abstractNumId w:val="6"/>
  </w:num>
  <w:num w:numId="2" w16cid:durableId="1762990198">
    <w:abstractNumId w:val="11"/>
  </w:num>
  <w:num w:numId="3" w16cid:durableId="1036391173">
    <w:abstractNumId w:val="2"/>
  </w:num>
  <w:num w:numId="4" w16cid:durableId="1518740003">
    <w:abstractNumId w:val="13"/>
  </w:num>
  <w:num w:numId="5" w16cid:durableId="1474063712">
    <w:abstractNumId w:val="1"/>
  </w:num>
  <w:num w:numId="6" w16cid:durableId="604188746">
    <w:abstractNumId w:val="16"/>
  </w:num>
  <w:num w:numId="7" w16cid:durableId="1290017872">
    <w:abstractNumId w:val="8"/>
  </w:num>
  <w:num w:numId="8" w16cid:durableId="1791431677">
    <w:abstractNumId w:val="0"/>
  </w:num>
  <w:num w:numId="9" w16cid:durableId="1235897990">
    <w:abstractNumId w:val="4"/>
  </w:num>
  <w:num w:numId="10" w16cid:durableId="144124982">
    <w:abstractNumId w:val="10"/>
  </w:num>
  <w:num w:numId="11" w16cid:durableId="866066163">
    <w:abstractNumId w:val="5"/>
  </w:num>
  <w:num w:numId="12" w16cid:durableId="628241549">
    <w:abstractNumId w:val="12"/>
  </w:num>
  <w:num w:numId="13" w16cid:durableId="812521359">
    <w:abstractNumId w:val="14"/>
  </w:num>
  <w:num w:numId="14" w16cid:durableId="1625379170">
    <w:abstractNumId w:val="15"/>
  </w:num>
  <w:num w:numId="15" w16cid:durableId="1713460814">
    <w:abstractNumId w:val="17"/>
  </w:num>
  <w:num w:numId="16" w16cid:durableId="1877621946">
    <w:abstractNumId w:val="3"/>
  </w:num>
  <w:num w:numId="17" w16cid:durableId="1554852423">
    <w:abstractNumId w:val="9"/>
  </w:num>
  <w:num w:numId="18" w16cid:durableId="694308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FB"/>
    <w:rsid w:val="0000703C"/>
    <w:rsid w:val="00010F81"/>
    <w:rsid w:val="00030B62"/>
    <w:rsid w:val="00043603"/>
    <w:rsid w:val="000444A4"/>
    <w:rsid w:val="00054CF7"/>
    <w:rsid w:val="000601E1"/>
    <w:rsid w:val="00095446"/>
    <w:rsid w:val="0009663C"/>
    <w:rsid w:val="000B5EA0"/>
    <w:rsid w:val="000D6412"/>
    <w:rsid w:val="000D7687"/>
    <w:rsid w:val="000E6591"/>
    <w:rsid w:val="000F3406"/>
    <w:rsid w:val="0010358D"/>
    <w:rsid w:val="00113173"/>
    <w:rsid w:val="001561A1"/>
    <w:rsid w:val="00161B59"/>
    <w:rsid w:val="001921DE"/>
    <w:rsid w:val="001C5586"/>
    <w:rsid w:val="001F7EC9"/>
    <w:rsid w:val="00210BF4"/>
    <w:rsid w:val="00221C58"/>
    <w:rsid w:val="002922C0"/>
    <w:rsid w:val="00297F48"/>
    <w:rsid w:val="002A79F7"/>
    <w:rsid w:val="002C03BD"/>
    <w:rsid w:val="002D5546"/>
    <w:rsid w:val="002E140A"/>
    <w:rsid w:val="002F074E"/>
    <w:rsid w:val="003167D7"/>
    <w:rsid w:val="00323A2B"/>
    <w:rsid w:val="0033677C"/>
    <w:rsid w:val="00345DA9"/>
    <w:rsid w:val="00354D78"/>
    <w:rsid w:val="003804F4"/>
    <w:rsid w:val="003860F5"/>
    <w:rsid w:val="00397B28"/>
    <w:rsid w:val="003C42A4"/>
    <w:rsid w:val="00453A01"/>
    <w:rsid w:val="004640C5"/>
    <w:rsid w:val="0049051B"/>
    <w:rsid w:val="004B2DB0"/>
    <w:rsid w:val="004E72D4"/>
    <w:rsid w:val="005113FB"/>
    <w:rsid w:val="005609CD"/>
    <w:rsid w:val="00564A4E"/>
    <w:rsid w:val="0057571B"/>
    <w:rsid w:val="00590827"/>
    <w:rsid w:val="005934C2"/>
    <w:rsid w:val="0059362E"/>
    <w:rsid w:val="005E31ED"/>
    <w:rsid w:val="005F1212"/>
    <w:rsid w:val="006037C7"/>
    <w:rsid w:val="00624C2E"/>
    <w:rsid w:val="00645630"/>
    <w:rsid w:val="00665CEC"/>
    <w:rsid w:val="00667630"/>
    <w:rsid w:val="006D68BC"/>
    <w:rsid w:val="006E1FE7"/>
    <w:rsid w:val="006F6D47"/>
    <w:rsid w:val="0071151E"/>
    <w:rsid w:val="0072045C"/>
    <w:rsid w:val="0072537F"/>
    <w:rsid w:val="00727569"/>
    <w:rsid w:val="00737164"/>
    <w:rsid w:val="00747EA3"/>
    <w:rsid w:val="00783651"/>
    <w:rsid w:val="007C4E57"/>
    <w:rsid w:val="007C6F24"/>
    <w:rsid w:val="007F107A"/>
    <w:rsid w:val="008526A9"/>
    <w:rsid w:val="00852B48"/>
    <w:rsid w:val="008632BC"/>
    <w:rsid w:val="00867196"/>
    <w:rsid w:val="008B24D7"/>
    <w:rsid w:val="008E06F0"/>
    <w:rsid w:val="008E5D6A"/>
    <w:rsid w:val="008F00BC"/>
    <w:rsid w:val="00900747"/>
    <w:rsid w:val="0090116F"/>
    <w:rsid w:val="00907F84"/>
    <w:rsid w:val="00920CE2"/>
    <w:rsid w:val="009271D2"/>
    <w:rsid w:val="0095514E"/>
    <w:rsid w:val="009623F5"/>
    <w:rsid w:val="009655C0"/>
    <w:rsid w:val="0097333C"/>
    <w:rsid w:val="009826E2"/>
    <w:rsid w:val="00986DD7"/>
    <w:rsid w:val="009C1AFB"/>
    <w:rsid w:val="009C4168"/>
    <w:rsid w:val="009C7924"/>
    <w:rsid w:val="009E5B85"/>
    <w:rsid w:val="009F3610"/>
    <w:rsid w:val="009F6B6E"/>
    <w:rsid w:val="00A06675"/>
    <w:rsid w:val="00A137F9"/>
    <w:rsid w:val="00A51A62"/>
    <w:rsid w:val="00A566E0"/>
    <w:rsid w:val="00A72EB0"/>
    <w:rsid w:val="00A84C13"/>
    <w:rsid w:val="00A8563E"/>
    <w:rsid w:val="00AC3105"/>
    <w:rsid w:val="00B23EF8"/>
    <w:rsid w:val="00B2696C"/>
    <w:rsid w:val="00B331E9"/>
    <w:rsid w:val="00B5351D"/>
    <w:rsid w:val="00B605DC"/>
    <w:rsid w:val="00B70D3A"/>
    <w:rsid w:val="00B859BB"/>
    <w:rsid w:val="00BC2F73"/>
    <w:rsid w:val="00BC68D1"/>
    <w:rsid w:val="00BD2D6A"/>
    <w:rsid w:val="00C30170"/>
    <w:rsid w:val="00C400AD"/>
    <w:rsid w:val="00CA1838"/>
    <w:rsid w:val="00CA5CE0"/>
    <w:rsid w:val="00CC59C7"/>
    <w:rsid w:val="00CD4968"/>
    <w:rsid w:val="00CF6AFB"/>
    <w:rsid w:val="00D13DD5"/>
    <w:rsid w:val="00D4024B"/>
    <w:rsid w:val="00D8154E"/>
    <w:rsid w:val="00DA5C89"/>
    <w:rsid w:val="00DC3B3C"/>
    <w:rsid w:val="00DF6FD5"/>
    <w:rsid w:val="00E04030"/>
    <w:rsid w:val="00E06B2B"/>
    <w:rsid w:val="00E307D6"/>
    <w:rsid w:val="00E468F3"/>
    <w:rsid w:val="00E538CF"/>
    <w:rsid w:val="00E54BCE"/>
    <w:rsid w:val="00E6598C"/>
    <w:rsid w:val="00E93868"/>
    <w:rsid w:val="00EA3C9D"/>
    <w:rsid w:val="00F21C70"/>
    <w:rsid w:val="00F85F2A"/>
    <w:rsid w:val="00F924AD"/>
    <w:rsid w:val="00FC0D97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878DE"/>
  <w15:chartTrackingRefBased/>
  <w15:docId w15:val="{0173B871-FD44-A645-8F24-DC02E9C6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A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1AF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C1A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AFB"/>
    <w:rPr>
      <w:lang w:val="es-ES"/>
    </w:rPr>
  </w:style>
  <w:style w:type="paragraph" w:styleId="NormalWeb">
    <w:name w:val="Normal (Web)"/>
    <w:basedOn w:val="Normal"/>
    <w:uiPriority w:val="99"/>
    <w:unhideWhenUsed/>
    <w:rsid w:val="00B5351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B5351D"/>
    <w:rPr>
      <w:color w:val="0563C1" w:themeColor="hyperlink"/>
      <w:u w:val="single"/>
    </w:rPr>
  </w:style>
  <w:style w:type="paragraph" w:customStyle="1" w:styleId="Default">
    <w:name w:val="Default"/>
    <w:rsid w:val="00D13DD5"/>
    <w:pPr>
      <w:autoSpaceDE w:val="0"/>
      <w:autoSpaceDN w:val="0"/>
      <w:adjustRightInd w:val="0"/>
    </w:pPr>
    <w:rPr>
      <w:rFonts w:ascii="Arial" w:hAnsi="Arial" w:cs="Arial"/>
      <w:color w:val="000000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5C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CE0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F924AD"/>
    <w:pPr>
      <w:ind w:left="720"/>
      <w:contextualSpacing/>
    </w:pPr>
  </w:style>
  <w:style w:type="paragraph" w:customStyle="1" w:styleId="paragraph">
    <w:name w:val="paragraph"/>
    <w:basedOn w:val="Normal"/>
    <w:rsid w:val="00907F8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normaltextrun">
    <w:name w:val="normaltextrun"/>
    <w:basedOn w:val="Fuentedeprrafopredeter"/>
    <w:rsid w:val="00907F84"/>
  </w:style>
  <w:style w:type="character" w:customStyle="1" w:styleId="eop">
    <w:name w:val="eop"/>
    <w:basedOn w:val="Fuentedeprrafopredeter"/>
    <w:rsid w:val="00907F84"/>
  </w:style>
  <w:style w:type="table" w:styleId="Tablaconcuadrcula">
    <w:name w:val="Table Grid"/>
    <w:basedOn w:val="Tablanormal"/>
    <w:uiPriority w:val="39"/>
    <w:rsid w:val="002922C0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2922C0"/>
    <w:pPr>
      <w:spacing w:after="200"/>
    </w:pPr>
    <w:rPr>
      <w:i/>
      <w:iCs/>
      <w:color w:val="000000" w:themeColor="text1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800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Ricardo Ramos Navarro</dc:creator>
  <cp:keywords/>
  <dc:description/>
  <cp:lastModifiedBy>Ambiente11</cp:lastModifiedBy>
  <cp:revision>52</cp:revision>
  <cp:lastPrinted>2025-08-19T16:06:00Z</cp:lastPrinted>
  <dcterms:created xsi:type="dcterms:W3CDTF">2025-11-14T12:44:00Z</dcterms:created>
  <dcterms:modified xsi:type="dcterms:W3CDTF">2025-11-18T22:19:00Z</dcterms:modified>
</cp:coreProperties>
</file>