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D54E" w14:textId="77777777" w:rsidR="00DD5C49" w:rsidRDefault="00DD5C49" w:rsidP="00DD5C49">
      <w:pPr>
        <w:pBdr>
          <w:top w:val="nil"/>
          <w:left w:val="nil"/>
          <w:bottom w:val="nil"/>
          <w:right w:val="nil"/>
          <w:between w:val="nil"/>
        </w:pBdr>
        <w:spacing w:after="360" w:line="288" w:lineRule="auto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Reporte avances Plan de Acción Agenda Ambiental – SIGAM 2024 con corte septiembre 30 de 2024</w:t>
      </w:r>
    </w:p>
    <w:p w14:paraId="3406761D" w14:textId="77777777" w:rsidR="008F61D4" w:rsidRDefault="008F61D4"/>
    <w:p w14:paraId="76EE0595" w14:textId="77777777" w:rsidR="008F61D4" w:rsidRDefault="00175776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Gestionar trámites para la construcción de una segunda Planta de Tratamiento de Aguas Residuales PTAR en el municipio de Fusagasugá.</w:t>
      </w:r>
    </w:p>
    <w:p w14:paraId="2459172C" w14:textId="77777777" w:rsidR="008F61D4" w:rsidRDefault="008F61D4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08DAB826" w14:textId="77777777" w:rsidR="008F61D4" w:rsidRDefault="008F61D4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5F59FBB8" w14:textId="77777777" w:rsidR="008F61D4" w:rsidRDefault="008F61D4"/>
    <w:p w14:paraId="1A1A9BC3" w14:textId="77777777" w:rsidR="008F61D4" w:rsidRDefault="00175776">
      <w:pPr>
        <w:pStyle w:val="Ttulo"/>
        <w:spacing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1: </w:t>
      </w:r>
      <w:r>
        <w:rPr>
          <w:rFonts w:ascii="Arial" w:eastAsia="Arial" w:hAnsi="Arial" w:cs="Arial"/>
          <w:b/>
          <w:sz w:val="24"/>
          <w:szCs w:val="24"/>
        </w:rPr>
        <w:t xml:space="preserve"> DIAGNOSTICO Y PLANEACION PARA LA CONSTRUCCIÓN DE UNA PTAR</w:t>
      </w:r>
    </w:p>
    <w:p w14:paraId="09D63A1F" w14:textId="77777777" w:rsidR="008F61D4" w:rsidRDefault="008F61D4"/>
    <w:p w14:paraId="2ADC4E39" w14:textId="77777777" w:rsidR="008F61D4" w:rsidRDefault="001757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60B1A903" w14:textId="77777777" w:rsidR="008F61D4" w:rsidRDefault="0017577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La actividad 1, de la meta 160, avanza para el tercer trimestre del año 2024 con mesas de trabajo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en el marco del CONVENIO EPC-CI-123-2017 y del contrato de consultoría No. 105 del 20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highlight w:val="white"/>
        </w:rPr>
        <w:t>18 derivado de este, cuyo objeto es ESTUDIOS Y DISEÑOS DEL PLAN MAESTRO DE ACUEDUCTO Y ALCANTARILLADO CASCO URBANO DEL MUNICIPIO DE FUSAGASUGÁ, INCLUYE DIAGNOSTICO, ESTUD</w:t>
      </w:r>
      <w:r>
        <w:rPr>
          <w:rFonts w:ascii="Arial" w:eastAsia="Arial" w:hAnsi="Arial" w:cs="Arial"/>
          <w:sz w:val="24"/>
          <w:szCs w:val="24"/>
          <w:highlight w:val="white"/>
        </w:rPr>
        <w:t>IOS Y DISEÑOS DE LAS OBRAS DE OPTIMIZACION Y AMPLIACION O CONSTRUCCION DE LA PLANTA DE TRATAMIENTO DE AGUA POTABLE Y AGUAS RESIDUALES DEL CASCO URBANO DEL MUNICIPIO DE FUSAGASUGA., en  conjunto con el consultor, Empresas Públicas de Cundinamarca S.A. E.S.P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cómo interventoría, y la Empresa de Servicios Públicos de Fusagasugá – EMSERFUSA E.S.P como supervisor, toda vez que dentro de dicha consultoría se deberá establecer los parámetros técnicos que permitirán consolidar la construcción de una segunda Planta d</w:t>
      </w:r>
      <w:r>
        <w:rPr>
          <w:rFonts w:ascii="Arial" w:eastAsia="Arial" w:hAnsi="Arial" w:cs="Arial"/>
          <w:sz w:val="24"/>
          <w:szCs w:val="24"/>
          <w:highlight w:val="white"/>
        </w:rPr>
        <w:t>e Tratamiento de Aguas Residuales PTAR en el municipio de Fusagasugá.</w:t>
      </w:r>
    </w:p>
    <w:p w14:paraId="1AADBCCC" w14:textId="77777777" w:rsidR="008F61D4" w:rsidRDefault="008F61D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309662" w14:textId="77777777" w:rsidR="008F61D4" w:rsidRDefault="00175776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desarrollo de esta actividad se presentan las siguientes tareas: </w:t>
      </w:r>
    </w:p>
    <w:p w14:paraId="6105F0E3" w14:textId="77777777" w:rsidR="008F61D4" w:rsidRDefault="008F61D4">
      <w:pPr>
        <w:jc w:val="both"/>
        <w:rPr>
          <w:rFonts w:ascii="Arial" w:eastAsia="Arial" w:hAnsi="Arial" w:cs="Arial"/>
          <w:sz w:val="24"/>
          <w:szCs w:val="24"/>
        </w:rPr>
      </w:pPr>
    </w:p>
    <w:p w14:paraId="3BF712A6" w14:textId="77777777" w:rsidR="008F61D4" w:rsidRDefault="008F61D4">
      <w:pPr>
        <w:jc w:val="both"/>
        <w:rPr>
          <w:rFonts w:ascii="Arial" w:eastAsia="Arial" w:hAnsi="Arial" w:cs="Arial"/>
          <w:sz w:val="24"/>
          <w:szCs w:val="24"/>
        </w:rPr>
      </w:pPr>
    </w:p>
    <w:p w14:paraId="10935083" w14:textId="77777777" w:rsidR="008F61D4" w:rsidRDefault="00175776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Recopilación de información primaria</w:t>
      </w:r>
    </w:p>
    <w:p w14:paraId="7E845BC5" w14:textId="77777777" w:rsidR="008F61D4" w:rsidRDefault="0017577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la fecha se han realizado </w:t>
      </w:r>
      <w:r>
        <w:rPr>
          <w:rFonts w:ascii="Arial" w:eastAsia="Arial" w:hAnsi="Arial" w:cs="Arial"/>
          <w:sz w:val="24"/>
          <w:szCs w:val="24"/>
          <w:highlight w:val="white"/>
        </w:rPr>
        <w:t>mesas de trabajo en el marco del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CONVENIO EPC-CI-123-2017 y del contrato de consultoría No. 105 del 2018 derivado de este, cuyo objeto es ESTUDIOS Y DISEÑOS DEL PLAN MAESTRO DE ACUEDUCTO Y ALCANTARILLADO CASCO URBANO DEL MUNICIPIO DE FUSAGASUGÁ, INCLUYE DIAGNOSTICO, ESTUDIOS Y DISEÑOS 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LAS OBRAS DE OPTIMIZACION Y AMPLIACION O CONSTRUCCION DE LA PLANTA DE TRATAMIENTO DE AGUA POTABLE Y AGUAS RESIDUALES DEL CASCO URBANO DEL MUNICIPIO DE FUSAGASUGA., en  conjunto con el consultor, Empresas Públicas de Cundinamarca S.A. E.S.P cómo intervento</w:t>
      </w:r>
      <w:r>
        <w:rPr>
          <w:rFonts w:ascii="Arial" w:eastAsia="Arial" w:hAnsi="Arial" w:cs="Arial"/>
          <w:sz w:val="24"/>
          <w:szCs w:val="24"/>
          <w:highlight w:val="white"/>
        </w:rPr>
        <w:t>ría, y la Empresa de Servicios Públicos de Fusagasugá – EMSERFUSA E.S.P como supervisor, toda vez que dentro de dicha consultoría se deberá establecer los parámetros técnicos que permitirán consolidar la construcción de una segunda Planta de Tratamiento 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Aguas Residuales PTAR en el municipio de Fusagasugá.</w:t>
      </w:r>
    </w:p>
    <w:p w14:paraId="36C19EE3" w14:textId="77777777" w:rsidR="008F61D4" w:rsidRDefault="008F61D4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</w:p>
    <w:p w14:paraId="3CF929EE" w14:textId="77777777" w:rsidR="008F61D4" w:rsidRDefault="008F61D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CA6388" w14:textId="77777777" w:rsidR="008F61D4" w:rsidRDefault="00175776">
      <w:pPr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Definir ubicaciones posibles</w:t>
      </w:r>
    </w:p>
    <w:p w14:paraId="18592A9B" w14:textId="77777777" w:rsidR="008F61D4" w:rsidRDefault="008F61D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C439C0" w14:textId="77777777" w:rsidR="008F61D4" w:rsidRDefault="0017577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la fecha no se cuenta con avance en esta tarea.</w:t>
      </w:r>
    </w:p>
    <w:p w14:paraId="15E8527E" w14:textId="77777777" w:rsidR="008F61D4" w:rsidRDefault="008F61D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B17A27" w14:textId="77777777" w:rsidR="008F61D4" w:rsidRDefault="008F61D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FA7DD7F" w14:textId="77777777" w:rsidR="008F61D4" w:rsidRDefault="00175776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Revisión normativa de licenciamiento </w:t>
      </w:r>
    </w:p>
    <w:p w14:paraId="35E914DF" w14:textId="77777777" w:rsidR="008F61D4" w:rsidRDefault="008F61D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D290A5" w14:textId="77777777" w:rsidR="008F61D4" w:rsidRDefault="0017577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2E03D76B" w14:textId="77777777" w:rsidR="008F61D4" w:rsidRDefault="008F61D4">
      <w:pPr>
        <w:jc w:val="both"/>
        <w:rPr>
          <w:rFonts w:ascii="Arial" w:eastAsia="Arial" w:hAnsi="Arial" w:cs="Arial"/>
          <w:sz w:val="24"/>
          <w:szCs w:val="24"/>
        </w:rPr>
      </w:pPr>
    </w:p>
    <w:p w14:paraId="646BF6AA" w14:textId="77777777" w:rsidR="008F61D4" w:rsidRDefault="008F61D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E2CCF3" w14:textId="77777777" w:rsidR="008F61D4" w:rsidRDefault="008F61D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DD3D0D" w14:textId="77777777" w:rsidR="008F61D4" w:rsidRDefault="00175776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Realizar mesa de trabajo con la alcaldía municipal</w:t>
      </w:r>
    </w:p>
    <w:p w14:paraId="197BED19" w14:textId="77777777" w:rsidR="008F61D4" w:rsidRDefault="008F61D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439599" w14:textId="77777777" w:rsidR="008F61D4" w:rsidRDefault="0017577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la fecha no se cuenta con avance en esta tarea.</w:t>
      </w:r>
    </w:p>
    <w:p w14:paraId="35CEED4B" w14:textId="77777777" w:rsidR="008F61D4" w:rsidRDefault="008F61D4">
      <w:pPr>
        <w:jc w:val="both"/>
        <w:rPr>
          <w:rFonts w:ascii="Arial" w:eastAsia="Arial" w:hAnsi="Arial" w:cs="Arial"/>
          <w:sz w:val="24"/>
          <w:szCs w:val="24"/>
        </w:rPr>
      </w:pPr>
    </w:p>
    <w:p w14:paraId="5E722080" w14:textId="77777777" w:rsidR="008F61D4" w:rsidRDefault="008F61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B55A890" w14:textId="77777777" w:rsidR="008F61D4" w:rsidRDefault="008F61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3082E5" w14:textId="77777777" w:rsidR="008F61D4" w:rsidRDefault="008F61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01A31DA" w14:textId="77777777" w:rsidR="008F61D4" w:rsidRDefault="008F61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7F76DE8" w14:textId="77777777" w:rsidR="008F61D4" w:rsidRDefault="008F61D4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A405339" w14:textId="77777777" w:rsidR="008F61D4" w:rsidRDefault="008F61D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0C56170" w14:textId="77777777" w:rsidR="008F61D4" w:rsidRDefault="008F61D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F37D437" w14:textId="77777777" w:rsidR="008F61D4" w:rsidRDefault="001757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3BD5033E" w14:textId="77777777" w:rsidR="008F61D4" w:rsidRDefault="001757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75EA4360" w14:textId="77777777" w:rsidR="008F61D4" w:rsidRDefault="008F61D4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F61D4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6F73" w14:textId="77777777" w:rsidR="00175776" w:rsidRDefault="00175776">
      <w:r>
        <w:separator/>
      </w:r>
    </w:p>
  </w:endnote>
  <w:endnote w:type="continuationSeparator" w:id="0">
    <w:p w14:paraId="0033E7D6" w14:textId="77777777" w:rsidR="00175776" w:rsidRDefault="0017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64130328-2FA9-410C-90AB-17873093EBE7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95DE69F5-0638-4C4D-89AD-2F2B97B480E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5ACCD934-7B16-408C-9AED-12217B37E7B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036A" w14:textId="77777777" w:rsidR="008F61D4" w:rsidRDefault="0017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B50A08C" wp14:editId="7F2BD7D9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D8B8C" w14:textId="77777777" w:rsidR="008F61D4" w:rsidRDefault="001757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Avenida Las Palmas No.4-66PBX 867 98 77 Líneas de atención 24 horas 8672577 - 8675722 - 8673922</w:t>
                          </w:r>
                        </w:p>
                        <w:p w14:paraId="496F672E" w14:textId="77777777" w:rsidR="008F61D4" w:rsidRDefault="00175776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51D62A13" w14:textId="77777777" w:rsidR="008F61D4" w:rsidRDefault="008F61D4">
                          <w:pPr>
                            <w:jc w:val="center"/>
                            <w:textDirection w:val="btLr"/>
                          </w:pPr>
                        </w:p>
                        <w:p w14:paraId="2018F6FE" w14:textId="77777777" w:rsidR="008F61D4" w:rsidRDefault="008F61D4">
                          <w:pPr>
                            <w:jc w:val="center"/>
                            <w:textDirection w:val="btLr"/>
                          </w:pPr>
                        </w:p>
                        <w:p w14:paraId="78C82AD0" w14:textId="77777777" w:rsidR="008F61D4" w:rsidRDefault="008F61D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B50A08C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55CD8B8C" w14:textId="77777777" w:rsidR="008F61D4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496F672E" w14:textId="77777777" w:rsidR="008F61D4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51D62A13" w14:textId="77777777" w:rsidR="008F61D4" w:rsidRDefault="008F61D4">
                    <w:pPr>
                      <w:jc w:val="center"/>
                      <w:textDirection w:val="btLr"/>
                    </w:pPr>
                  </w:p>
                  <w:p w14:paraId="2018F6FE" w14:textId="77777777" w:rsidR="008F61D4" w:rsidRDefault="008F61D4">
                    <w:pPr>
                      <w:jc w:val="center"/>
                      <w:textDirection w:val="btLr"/>
                    </w:pPr>
                  </w:p>
                  <w:p w14:paraId="78C82AD0" w14:textId="77777777" w:rsidR="008F61D4" w:rsidRDefault="008F61D4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50049A7D" wp14:editId="5BA79496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8E8E6C2" w14:textId="77777777" w:rsidR="008F61D4" w:rsidRDefault="008F61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9E94D82" w14:textId="77777777" w:rsidR="008F61D4" w:rsidRDefault="008F61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62A2" w14:textId="77777777" w:rsidR="00175776" w:rsidRDefault="00175776">
      <w:r>
        <w:separator/>
      </w:r>
    </w:p>
  </w:footnote>
  <w:footnote w:type="continuationSeparator" w:id="0">
    <w:p w14:paraId="087778EC" w14:textId="77777777" w:rsidR="00175776" w:rsidRDefault="0017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0470" w14:textId="77777777" w:rsidR="008F61D4" w:rsidRDefault="00175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7CB8DED" wp14:editId="6710AB51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1970780770" name="Grupo 1970780770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725634428" name="Rectángulo 1725634428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FC1CE7" w14:textId="77777777" w:rsidR="008F61D4" w:rsidRDefault="008F61D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81512566" name="Rectángulo 1481512566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ECA3F1" w14:textId="77777777" w:rsidR="008F61D4" w:rsidRDefault="00175776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107496182" name="Grupo 107496182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2104359797" name="Conector recto de flecha 2104359797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22398107" name="Conector recto de flecha 922398107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7CB8DED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">
              <v:group id="Grupo 1970780770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">
                <v:rect id="Rectángulo 1725634428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46FC1CE7" w14:textId="77777777" w:rsidR="008F61D4" w:rsidRDefault="008F61D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481512566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" filled="f" stroked="f">
                  <v:textbox inset="1in,2.53958mm,2.53958mm,2.53958mm">
                    <w:txbxContent>
                      <w:p w14:paraId="46ECA3F1" w14:textId="77777777" w:rsidR="008F61D4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107496182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104359797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"/>
                  <v:shape id="Conector recto de flecha 922398107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8923B0" wp14:editId="792AC192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1B09A" w14:textId="77777777" w:rsidR="008F61D4" w:rsidRDefault="001757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15C0D8FE" w14:textId="77777777" w:rsidR="008F61D4" w:rsidRDefault="001757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225141F8" w14:textId="77777777" w:rsidR="008F61D4" w:rsidRDefault="001757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58923B0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4361B09A" w14:textId="77777777" w:rsidR="008F61D4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15C0D8FE" w14:textId="77777777" w:rsidR="008F61D4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225141F8" w14:textId="77777777" w:rsidR="008F61D4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50E570" wp14:editId="527EED00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A5707D1" wp14:editId="27D3CF91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3CEC412" wp14:editId="2E44AA93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8CC"/>
    <w:multiLevelType w:val="multilevel"/>
    <w:tmpl w:val="B2D4F7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D4"/>
    <w:rsid w:val="00175776"/>
    <w:rsid w:val="00276360"/>
    <w:rsid w:val="004675DD"/>
    <w:rsid w:val="008F61D4"/>
    <w:rsid w:val="00B35CCF"/>
    <w:rsid w:val="00D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85222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ntxVXdTJt7S/atxxC8gmUMmdw==">CgMxLjA4AHIhMWJaTEphMTV2OWNVa2FNcUZvVE5penJvOUctNGktdEtv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3</cp:revision>
  <dcterms:created xsi:type="dcterms:W3CDTF">2024-12-19T20:38:00Z</dcterms:created>
  <dcterms:modified xsi:type="dcterms:W3CDTF">2024-12-19T22:45:00Z</dcterms:modified>
</cp:coreProperties>
</file>